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2"/>
        </w:rPr>
        <w:t>SPRINT RETROSPECTIVE · SPRINT 4</w:t>
      </w:r>
    </w:p>
    <w:p>
      <w:pPr>
        <w:spacing w:after="40"/>
      </w:pPr>
      <w:r>
        <w:rPr>
          <w:b w:val="0"/>
          <w:i w:val="0"/>
          <w:sz w:val="26"/>
        </w:rPr>
        <w:t>SIGMA · Sistema Integrado de Gestión de Mantenimiento Industrial</w:t>
      </w:r>
    </w:p>
    <w:p>
      <w:pPr>
        <w:spacing w:after="240"/>
      </w:pPr>
      <w:r>
        <w:rPr>
          <w:b w:val="0"/>
          <w:i w:val="0"/>
          <w:color w:val="555555"/>
          <w:sz w:val="22"/>
        </w:rPr>
        <w:t>Acta de la retrospectiva del equipo · 27 de octubre de 2026 · Sprint 4 «Trabajo planificado»</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551"/>
            <w:shd w:val="clear" w:color="auto" w:fill="F3F1FB"/>
          </w:tcPr>
          <w:p>
            <w:r/>
            <w:r>
              <w:rPr>
                <w:b/>
                <w:sz w:val="20"/>
              </w:rPr>
              <w:t>Evento</w:t>
            </w:r>
          </w:p>
        </w:tc>
        <w:tc>
          <w:tcPr>
            <w:tcW w:type="dxa" w:w="6803"/>
          </w:tcPr>
          <w:p>
            <w:r/>
            <w:r>
              <w:rPr>
                <w:sz w:val="20"/>
              </w:rPr>
              <w:t>Sprint Retrospective (Guía Scrum 2020): inspección de cómo trabajó el equipo y plan de mejora</w:t>
            </w:r>
          </w:p>
        </w:tc>
      </w:tr>
      <w:tr>
        <w:tc>
          <w:tcPr>
            <w:tcW w:type="dxa" w:w="2551"/>
            <w:shd w:val="clear" w:color="auto" w:fill="F3F1FB"/>
          </w:tcPr>
          <w:p>
            <w:r/>
            <w:r>
              <w:rPr>
                <w:b/>
                <w:sz w:val="20"/>
              </w:rPr>
              <w:t>Fecha y duración</w:t>
            </w:r>
          </w:p>
        </w:tc>
        <w:tc>
          <w:tcPr>
            <w:tcW w:type="dxa" w:w="6803"/>
          </w:tcPr>
          <w:p>
            <w:r/>
            <w:r>
              <w:rPr>
                <w:sz w:val="20"/>
              </w:rPr>
              <w:t>27-10-2026 · 17:45 a 19:00 (1,25 h)</w:t>
            </w:r>
          </w:p>
        </w:tc>
      </w:tr>
      <w:tr>
        <w:tc>
          <w:tcPr>
            <w:tcW w:type="dxa" w:w="2551"/>
            <w:shd w:val="clear" w:color="auto" w:fill="F3F1FB"/>
          </w:tcPr>
          <w:p>
            <w:r/>
            <w:r>
              <w:rPr>
                <w:b/>
                <w:sz w:val="20"/>
              </w:rPr>
              <w:t>Lugar</w:t>
            </w:r>
          </w:p>
        </w:tc>
        <w:tc>
          <w:tcPr>
            <w:tcW w:type="dxa" w:w="6803"/>
          </w:tcPr>
          <w:p>
            <w:r/>
            <w:r>
              <w:rPr>
                <w:sz w:val="20"/>
              </w:rPr>
              <w:t>Videollamada</w:t>
            </w:r>
          </w:p>
        </w:tc>
      </w:tr>
      <w:tr>
        <w:tc>
          <w:tcPr>
            <w:tcW w:type="dxa" w:w="2551"/>
            <w:shd w:val="clear" w:color="auto" w:fill="F3F1FB"/>
          </w:tcPr>
          <w:p>
            <w:r/>
            <w:r>
              <w:rPr>
                <w:b/>
                <w:sz w:val="20"/>
              </w:rPr>
              <w:t>Facilita</w:t>
            </w:r>
          </w:p>
        </w:tc>
        <w:tc>
          <w:tcPr>
            <w:tcW w:type="dxa" w:w="6803"/>
          </w:tcPr>
          <w:p>
            <w:r/>
            <w:r>
              <w:rPr>
                <w:sz w:val="20"/>
              </w:rPr>
              <w:t>Emilio Fuentes (Scrum Master)</w:t>
            </w:r>
          </w:p>
        </w:tc>
      </w:tr>
      <w:tr>
        <w:tc>
          <w:tcPr>
            <w:tcW w:type="dxa" w:w="2551"/>
            <w:shd w:val="clear" w:color="auto" w:fill="F3F1FB"/>
          </w:tcPr>
          <w:p>
            <w:r/>
            <w:r>
              <w:rPr>
                <w:b/>
                <w:sz w:val="20"/>
              </w:rPr>
              <w:t>Participan</w:t>
            </w:r>
          </w:p>
        </w:tc>
        <w:tc>
          <w:tcPr>
            <w:tcW w:type="dxa" w:w="6803"/>
          </w:tcPr>
          <w:p>
            <w:r/>
            <w:r>
              <w:rPr>
                <w:sz w:val="20"/>
              </w:rPr>
              <w:t>Catalina Pescio, Emilio Fuentes, Bryan Chávez</w:t>
            </w:r>
          </w:p>
        </w:tc>
      </w:tr>
      <w:tr>
        <w:tc>
          <w:tcPr>
            <w:tcW w:type="dxa" w:w="2551"/>
            <w:shd w:val="clear" w:color="auto" w:fill="F3F1FB"/>
          </w:tcPr>
          <w:p>
            <w:r/>
            <w:r>
              <w:rPr>
                <w:b/>
                <w:sz w:val="20"/>
              </w:rPr>
              <w:t>Registra el acta</w:t>
            </w:r>
          </w:p>
        </w:tc>
        <w:tc>
          <w:tcPr>
            <w:tcW w:type="dxa" w:w="6803"/>
          </w:tcPr>
          <w:p>
            <w:r/>
            <w:r>
              <w:rPr>
                <w:sz w:val="20"/>
              </w:rPr>
              <w:t>Emilio Fuentes</w:t>
            </w:r>
          </w:p>
        </w:tc>
      </w:tr>
    </w:tbl>
    <w:p>
      <w:pPr>
        <w:spacing w:after="40"/>
      </w:pPr>
    </w:p>
    <w:p>
      <w:pPr>
        <w:pStyle w:val="Heading1"/>
      </w:pPr>
      <w:r>
        <w:t>1. Seguimiento de los acuerdos anteriores</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020"/>
            <w:shd w:val="clear" w:color="auto" w:fill="E8E5F7"/>
          </w:tcPr>
          <w:p>
            <w:r/>
            <w:r>
              <w:rPr>
                <w:b/>
                <w:sz w:val="19"/>
              </w:rPr>
              <w:t>Acuerdo</w:t>
            </w:r>
          </w:p>
        </w:tc>
        <w:tc>
          <w:tcPr>
            <w:tcW w:type="dxa" w:w="4082"/>
            <w:shd w:val="clear" w:color="auto" w:fill="E8E5F7"/>
          </w:tcPr>
          <w:p>
            <w:r/>
            <w:r>
              <w:rPr>
                <w:b/>
                <w:sz w:val="19"/>
              </w:rPr>
              <w:t>Qué decía</w:t>
            </w:r>
          </w:p>
        </w:tc>
        <w:tc>
          <w:tcPr>
            <w:tcW w:type="dxa" w:w="4535"/>
            <w:shd w:val="clear" w:color="auto" w:fill="E8E5F7"/>
          </w:tcPr>
          <w:p>
            <w:r/>
            <w:r>
              <w:rPr>
                <w:b/>
                <w:sz w:val="19"/>
              </w:rPr>
              <w:t>Estado</w:t>
            </w:r>
          </w:p>
        </w:tc>
      </w:tr>
      <w:tr>
        <w:tc>
          <w:tcPr>
            <w:tcW w:type="dxa" w:w="1020"/>
          </w:tcPr>
          <w:p>
            <w:r/>
            <w:r>
              <w:rPr>
                <w:sz w:val="19"/>
              </w:rPr>
              <w:t>A10</w:t>
            </w:r>
          </w:p>
        </w:tc>
        <w:tc>
          <w:tcPr>
            <w:tcW w:type="dxa" w:w="4082"/>
          </w:tcPr>
          <w:p>
            <w:r/>
            <w:r>
              <w:rPr>
                <w:sz w:val="19"/>
              </w:rPr>
              <w:t>Una persona toma la historia completa, incluidas sus pruebas</w:t>
            </w:r>
          </w:p>
        </w:tc>
        <w:tc>
          <w:tcPr>
            <w:tcW w:type="dxa" w:w="4535"/>
          </w:tcPr>
          <w:p>
            <w:r/>
            <w:r>
              <w:rPr>
                <w:sz w:val="19"/>
              </w:rPr>
              <w:t>Cumplido en parte: se respetó en el núcleo de planes, pero HU-090 quedó construida por Emilio y probada por Bryan</w:t>
            </w:r>
          </w:p>
        </w:tc>
      </w:tr>
      <w:tr>
        <w:tc>
          <w:tcPr>
            <w:tcW w:type="dxa" w:w="1020"/>
          </w:tcPr>
          <w:p>
            <w:r/>
            <w:r>
              <w:rPr>
                <w:sz w:val="19"/>
              </w:rPr>
              <w:t>A11</w:t>
            </w:r>
          </w:p>
        </w:tc>
        <w:tc>
          <w:tcPr>
            <w:tcW w:type="dxa" w:w="4082"/>
          </w:tcPr>
          <w:p>
            <w:r/>
            <w:r>
              <w:rPr>
                <w:sz w:val="19"/>
              </w:rPr>
              <w:t>La regla de negocio se escribe también en el servidor</w:t>
            </w:r>
          </w:p>
        </w:tc>
        <w:tc>
          <w:tcPr>
            <w:tcW w:type="dxa" w:w="4535"/>
          </w:tcPr>
          <w:p>
            <w:r/>
            <w:r>
              <w:rPr>
                <w:sz w:val="19"/>
              </w:rPr>
              <w:t>Cumplido: las reglas de publicación de versión viven en PUBLICAR_CHECKLIST_VERSION, no en la pantalla</w:t>
            </w:r>
          </w:p>
        </w:tc>
      </w:tr>
      <w:tr>
        <w:tc>
          <w:tcPr>
            <w:tcW w:type="dxa" w:w="1020"/>
          </w:tcPr>
          <w:p>
            <w:r/>
            <w:r>
              <w:rPr>
                <w:sz w:val="19"/>
              </w:rPr>
              <w:t>A12</w:t>
            </w:r>
          </w:p>
        </w:tc>
        <w:tc>
          <w:tcPr>
            <w:tcW w:type="dxa" w:w="4082"/>
          </w:tcPr>
          <w:p>
            <w:r/>
            <w:r>
              <w:rPr>
                <w:sz w:val="19"/>
              </w:rPr>
              <w:t>Registrar las horas reales de cada tarea</w:t>
            </w:r>
          </w:p>
        </w:tc>
        <w:tc>
          <w:tcPr>
            <w:tcW w:type="dxa" w:w="4535"/>
          </w:tcPr>
          <w:p>
            <w:r/>
            <w:r>
              <w:rPr>
                <w:sz w:val="19"/>
              </w:rPr>
              <w:t>No cumplido: solo Bryan registró horas reales (67,5 h). Emilio y Catalina dejaron el campo vacío</w:t>
            </w:r>
          </w:p>
        </w:tc>
      </w:tr>
      <w:tr>
        <w:tc>
          <w:tcPr>
            <w:tcW w:type="dxa" w:w="1020"/>
          </w:tcPr>
          <w:p>
            <w:r/>
            <w:r>
              <w:rPr>
                <w:sz w:val="19"/>
              </w:rPr>
              <w:t>A13</w:t>
            </w:r>
          </w:p>
        </w:tc>
        <w:tc>
          <w:tcPr>
            <w:tcW w:type="dxa" w:w="4082"/>
          </w:tcPr>
          <w:p>
            <w:r/>
            <w:r>
              <w:rPr>
                <w:sz w:val="19"/>
              </w:rPr>
              <w:t>Las escrituras que tocan varias tablas van en transacción</w:t>
            </w:r>
          </w:p>
        </w:tc>
        <w:tc>
          <w:tcPr>
            <w:tcW w:type="dxa" w:w="4535"/>
          </w:tcPr>
          <w:p>
            <w:r/>
            <w:r>
              <w:rPr>
                <w:sz w:val="19"/>
              </w:rPr>
              <w:t>Cumplido: la publicación de versión retira la anterior y publica la nueva dentro de una sola transacción</w:t>
            </w:r>
          </w:p>
        </w:tc>
      </w:tr>
    </w:tbl>
    <w:p>
      <w:pPr>
        <w:spacing w:after="40"/>
      </w:pPr>
    </w:p>
    <w:p>
      <w:pPr>
        <w:pStyle w:val="Heading1"/>
      </w:pPr>
      <w:r>
        <w:t>2. Comentarios y feedback del cliente</w:t>
      </w:r>
    </w:p>
    <w:p>
      <w:pPr>
        <w:spacing w:after="120"/>
      </w:pPr>
      <w:r>
        <w:rPr>
          <w:b w:val="0"/>
          <w:i w:val="0"/>
          <w:sz w:val="22"/>
        </w:rPr>
        <w:t>Lo que el cliente dijo en la Review de la mañana, que el equipo tomó como insumo de esta retrospectiva: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2381"/>
            <w:shd w:val="clear" w:color="auto" w:fill="E8E5F7"/>
          </w:tcPr>
          <w:p>
            <w:r/>
            <w:r>
              <w:rPr>
                <w:b/>
                <w:sz w:val="19"/>
              </w:rPr>
              <w:t>Tema</w:t>
            </w:r>
          </w:p>
        </w:tc>
        <w:tc>
          <w:tcPr>
            <w:tcW w:type="dxa" w:w="1701"/>
            <w:shd w:val="clear" w:color="auto" w:fill="E8E5F7"/>
          </w:tcPr>
          <w:p>
            <w:r/>
            <w:r>
              <w:rPr>
                <w:b/>
                <w:sz w:val="19"/>
              </w:rPr>
              <w:t>Quién</w:t>
            </w:r>
          </w:p>
        </w:tc>
        <w:tc>
          <w:tcPr>
            <w:tcW w:type="dxa" w:w="5556"/>
            <w:shd w:val="clear" w:color="auto" w:fill="E8E5F7"/>
          </w:tcPr>
          <w:p>
            <w:r/>
            <w:r>
              <w:rPr>
                <w:b/>
                <w:sz w:val="19"/>
              </w:rPr>
              <w:t>Qué significa para el equipo</w:t>
            </w:r>
          </w:p>
        </w:tc>
      </w:tr>
      <w:tr>
        <w:tc>
          <w:tcPr>
            <w:tcW w:type="dxa" w:w="2381"/>
          </w:tcPr>
          <w:p>
            <w:r/>
            <w:r>
              <w:rPr>
                <w:sz w:val="19"/>
              </w:rPr>
              <w:t>Que la pauta de inspección se pueda armar sin pedir ayuda</w:t>
            </w:r>
          </w:p>
        </w:tc>
        <w:tc>
          <w:tcPr>
            <w:tcW w:type="dxa" w:w="1701"/>
          </w:tcPr>
          <w:p>
            <w:r/>
            <w:r>
              <w:rPr>
                <w:sz w:val="19"/>
              </w:rPr>
              <w:t>Rodrigo Quezada</w:t>
            </w:r>
          </w:p>
        </w:tc>
        <w:tc>
          <w:tcPr>
            <w:tcW w:type="dxa" w:w="5556"/>
          </w:tcPr>
          <w:p>
            <w:r/>
            <w:r>
              <w:rPr>
                <w:sz w:val="19"/>
              </w:rPr>
              <w:t>La pauta tiene que armarse sin acompañamiento. Confirma que el centro de pauta con pestañas fue la decisión correcta frente al formulario largo</w:t>
            </w:r>
          </w:p>
        </w:tc>
      </w:tr>
      <w:tr>
        <w:tc>
          <w:tcPr>
            <w:tcW w:type="dxa" w:w="2381"/>
          </w:tcPr>
          <w:p>
            <w:r/>
            <w:r>
              <w:rPr>
                <w:sz w:val="19"/>
              </w:rPr>
              <w:t>Preocupación por la versión de la pauta</w:t>
            </w:r>
          </w:p>
        </w:tc>
        <w:tc>
          <w:tcPr>
            <w:tcW w:type="dxa" w:w="1701"/>
          </w:tcPr>
          <w:p>
            <w:r/>
            <w:r>
              <w:rPr>
                <w:sz w:val="19"/>
              </w:rPr>
              <w:t>Marcela Aravena</w:t>
            </w:r>
          </w:p>
        </w:tc>
        <w:tc>
          <w:tcPr>
            <w:tcW w:type="dxa" w:w="5556"/>
          </w:tcPr>
          <w:p>
            <w:r/>
            <w:r>
              <w:rPr>
                <w:sz w:val="19"/>
              </w:rPr>
              <w:t>El versionado era la mayor duda del cliente y resultó ser lo que más tranquilidad dio. Vale la pena mostrarlo explícitamente en las próximas reviews</w:t>
            </w:r>
          </w:p>
        </w:tc>
      </w:tr>
      <w:tr>
        <w:tc>
          <w:tcPr>
            <w:tcW w:type="dxa" w:w="2381"/>
          </w:tcPr>
          <w:p>
            <w:r/>
            <w:r>
              <w:rPr>
                <w:sz w:val="19"/>
              </w:rPr>
              <w:t>Las tareas sin máquina sirven más de lo que pensaban</w:t>
            </w:r>
          </w:p>
        </w:tc>
        <w:tc>
          <w:tcPr>
            <w:tcW w:type="dxa" w:w="1701"/>
          </w:tcPr>
          <w:p>
            <w:r/>
            <w:r>
              <w:rPr>
                <w:sz w:val="19"/>
              </w:rPr>
              <w:t>Marcela Aravena</w:t>
            </w:r>
          </w:p>
        </w:tc>
        <w:tc>
          <w:tcPr>
            <w:tcW w:type="dxa" w:w="5556"/>
          </w:tcPr>
          <w:p>
            <w:r/>
            <w:r>
              <w:rPr>
                <w:sz w:val="19"/>
              </w:rPr>
              <w:t>Las tareas sin máquina tienen más uso del que el equipo supuso al estimarlas. Hay que mirar su prioridad en el Product Backlog</w:t>
            </w:r>
          </w:p>
        </w:tc>
      </w:tr>
    </w:tbl>
    <w:p>
      <w:pPr>
        <w:spacing w:after="40"/>
      </w:pPr>
    </w:p>
    <w:p>
      <w:pPr>
        <w:pStyle w:val="Heading1"/>
      </w:pPr>
      <w:r>
        <w:t>3. Qué salió bien</w:t>
      </w:r>
    </w:p>
    <w:p>
      <w:pPr>
        <w:pStyle w:val="ListBullet"/>
        <w:spacing w:after="60"/>
      </w:pPr>
      <w:r>
        <w:rPr>
          <w:b/>
          <w:sz w:val="21"/>
        </w:rPr>
        <w:t xml:space="preserve">El reparto por módulo funcionó: </w:t>
      </w:r>
      <w:r>
        <w:rPr>
          <w:sz w:val="21"/>
        </w:rPr>
        <w:t>Bryan tomó el núcleo de planes, Emilio el centro de pauta y Catalina los mantenedores de checklist y tareas. 218 tareas terminadas sin pisarse el trabajo.</w:t>
      </w:r>
    </w:p>
    <w:p>
      <w:pPr>
        <w:pStyle w:val="ListBullet"/>
        <w:spacing w:after="60"/>
      </w:pPr>
      <w:r>
        <w:rPr>
          <w:b/>
          <w:sz w:val="21"/>
        </w:rPr>
        <w:t xml:space="preserve">Las reglas de negocio quedaron donde corresponde. </w:t>
      </w:r>
      <w:r>
        <w:rPr>
          <w:sz w:val="21"/>
        </w:rPr>
        <w:t>Publicar una versión retira la anterior y rechaza una versión sin ítems, y eso está en el procedimiento almacenado: se pudo probar sin pasar por la pantalla.</w:t>
      </w:r>
    </w:p>
    <w:p>
      <w:pPr>
        <w:pStyle w:val="ListBullet"/>
        <w:spacing w:after="60"/>
      </w:pPr>
      <w:r>
        <w:rPr>
          <w:b/>
          <w:sz w:val="21"/>
        </w:rPr>
        <w:t xml:space="preserve">Catalina y Emilio documentaron la evidencia </w:t>
      </w:r>
      <w:r>
        <w:rPr>
          <w:sz w:val="21"/>
        </w:rPr>
        <w:t>de cada historia con sus capturas y el detalle de lo construido, no solo con un «probado».</w:t>
      </w:r>
    </w:p>
    <w:p>
      <w:pPr>
        <w:pStyle w:val="ListBullet"/>
        <w:spacing w:after="60"/>
      </w:pPr>
      <w:r>
        <w:rPr>
          <w:b/>
          <w:sz w:val="21"/>
        </w:rPr>
        <w:t xml:space="preserve">El equipo se sincronizó por rama sin perder trabajo: </w:t>
      </w:r>
      <w:r>
        <w:rPr>
          <w:sz w:val="21"/>
        </w:rPr>
        <w:t>cuando una rama tenía un arreglo sin integrar, se trajo con merge en vez de pisarla.</w:t>
      </w:r>
    </w:p>
    <w:p>
      <w:pPr>
        <w:pStyle w:val="Heading1"/>
      </w:pPr>
      <w:r>
        <w:t>4. Qué no salió bien</w:t>
      </w:r>
    </w:p>
    <w:p>
      <w:pPr>
        <w:pStyle w:val="ListBullet"/>
        <w:spacing w:after="60"/>
      </w:pPr>
      <w:r>
        <w:rPr>
          <w:b/>
          <w:sz w:val="21"/>
        </w:rPr>
        <w:t xml:space="preserve">Dos formatos de evidencia en el mismo sprint. </w:t>
      </w:r>
      <w:r>
        <w:rPr>
          <w:sz w:val="21"/>
        </w:rPr>
        <w:t>El manifiesto compartido por un lado y nueve informes por historia por otro: contar solo el manifiesto dejaba seis historias pareciendo sin probar cuando sí lo estaban, y el informe del sprint hubo que consolidarlo a mano.</w:t>
      </w:r>
    </w:p>
    <w:p>
      <w:pPr>
        <w:pStyle w:val="ListBullet"/>
        <w:spacing w:after="60"/>
      </w:pPr>
      <w:r>
        <w:rPr>
          <w:b/>
          <w:sz w:val="21"/>
        </w:rPr>
        <w:t xml:space="preserve">Dos historias se dieron por construidas con sus pruebas pendientes. </w:t>
      </w:r>
      <w:r>
        <w:rPr>
          <w:sz w:val="21"/>
        </w:rPr>
        <w:t>HU-090 y HU-093 quedaron «en revisión» hasta el cierre, y al ejecutar finalmente sus pruebas apareció un defecto que llevaba dos semanas en el código.</w:t>
      </w:r>
    </w:p>
    <w:p>
      <w:pPr>
        <w:pStyle w:val="ListBullet"/>
        <w:spacing w:after="60"/>
      </w:pPr>
      <w:r>
        <w:rPr>
          <w:b/>
          <w:sz w:val="21"/>
        </w:rPr>
        <w:t xml:space="preserve">Las horas reales siguen sin registrarse. </w:t>
      </w:r>
      <w:r>
        <w:rPr>
          <w:sz w:val="21"/>
        </w:rPr>
        <w:t>Es el tercer sprint con el mismo acuerdo incumplido: sin horas reales no hay forma de saber si la estimación mejora.</w:t>
      </w:r>
    </w:p>
    <w:p>
      <w:pPr>
        <w:pStyle w:val="ListBullet"/>
        <w:spacing w:after="60"/>
      </w:pPr>
      <w:r>
        <w:rPr>
          <w:b/>
          <w:sz w:val="21"/>
        </w:rPr>
        <w:t xml:space="preserve">Las validaciones con la Product Owner se acumularon </w:t>
      </w:r>
      <w:r>
        <w:rPr>
          <w:sz w:val="21"/>
        </w:rPr>
        <w:t>al final en vez de hacerse al terminar cada historia.</w:t>
      </w:r>
    </w:p>
    <w:p>
      <w:pPr>
        <w:pStyle w:val="Heading1"/>
      </w:pPr>
      <w:r>
        <w:t>5. El defecto que encontraron las pruebas</w:t>
      </w:r>
    </w:p>
    <w:p>
      <w:pPr>
        <w:spacing w:after="120"/>
      </w:pPr>
      <w:r>
        <w:rPr>
          <w:b w:val="0"/>
          <w:i w:val="0"/>
          <w:sz w:val="22"/>
        </w:rPr>
        <w:t>Vale la pena dejarlo escrito porque ilustra por qué el acuerdo de probar cada historia antes de darla por terminada no es burocracia.</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1984"/>
            <w:shd w:val="clear" w:color="auto" w:fill="E8E5F7"/>
          </w:tcPr>
          <w:p>
            <w:r/>
            <w:r>
              <w:rPr>
                <w:b/>
                <w:sz w:val="19"/>
              </w:rPr>
              <w:t>Qué</w:t>
            </w:r>
          </w:p>
        </w:tc>
        <w:tc>
          <w:tcPr>
            <w:tcW w:type="dxa" w:w="7654"/>
            <w:shd w:val="clear" w:color="auto" w:fill="E8E5F7"/>
          </w:tcPr>
          <w:p>
            <w:r/>
            <w:r>
              <w:rPr>
                <w:b/>
                <w:sz w:val="19"/>
              </w:rPr>
              <w:t>Detalle</w:t>
            </w:r>
          </w:p>
        </w:tc>
      </w:tr>
      <w:tr>
        <w:tc>
          <w:tcPr>
            <w:tcW w:type="dxa" w:w="1984"/>
          </w:tcPr>
          <w:p>
            <w:r/>
            <w:r>
              <w:rPr>
                <w:sz w:val="19"/>
              </w:rPr>
              <w:t>Dónde</w:t>
            </w:r>
          </w:p>
        </w:tc>
        <w:tc>
          <w:tcPr>
            <w:tcW w:type="dxa" w:w="7654"/>
          </w:tcPr>
          <w:p>
            <w:r/>
            <w:r>
              <w:rPr>
                <w:sz w:val="19"/>
              </w:rPr>
              <w:t>HU-090, criterio CA1: «cuando creo una plantilla con código y nombre, se crea su versión 1 en estado borrador»</w:t>
            </w:r>
          </w:p>
        </w:tc>
      </w:tr>
      <w:tr>
        <w:tc>
          <w:tcPr>
            <w:tcW w:type="dxa" w:w="1984"/>
          </w:tcPr>
          <w:p>
            <w:r/>
            <w:r>
              <w:rPr>
                <w:sz w:val="19"/>
              </w:rPr>
              <w:t>Qué pasaba</w:t>
            </w:r>
          </w:p>
        </w:tc>
        <w:tc>
          <w:tcPr>
            <w:tcW w:type="dxa" w:w="7654"/>
          </w:tcPr>
          <w:p>
            <w:r/>
            <w:r>
              <w:rPr>
                <w:sz w:val="19"/>
              </w:rPr>
              <w:t>INS_CHECKLIST_PLANTILLA insertaba solo la plantilla. Ni el procedimiento ni el controller creaban la versión 1, así que la plantilla nacía sin ninguna versión</w:t>
            </w:r>
          </w:p>
        </w:tc>
      </w:tr>
      <w:tr>
        <w:tc>
          <w:tcPr>
            <w:tcW w:type="dxa" w:w="1984"/>
          </w:tcPr>
          <w:p>
            <w:r/>
            <w:r>
              <w:rPr>
                <w:sz w:val="19"/>
              </w:rPr>
              <w:t>Por qué importaba</w:t>
            </w:r>
          </w:p>
        </w:tc>
        <w:tc>
          <w:tcPr>
            <w:tcW w:type="dxa" w:w="7654"/>
          </w:tcPr>
          <w:p>
            <w:r/>
            <w:r>
              <w:rPr>
                <w:sz w:val="19"/>
              </w:rPr>
              <w:t>Las secciones y los ítems cuelgan de la versión: una plantilla recién creada no se podía completar, y al publicarla respondía «no hay una versión en borrador para publicar»</w:t>
            </w:r>
          </w:p>
        </w:tc>
      </w:tr>
      <w:tr>
        <w:tc>
          <w:tcPr>
            <w:tcW w:type="dxa" w:w="1984"/>
          </w:tcPr>
          <w:p>
            <w:r/>
            <w:r>
              <w:rPr>
                <w:sz w:val="19"/>
              </w:rPr>
              <w:t>Cómo se detectó</w:t>
            </w:r>
          </w:p>
        </w:tc>
        <w:tc>
          <w:tcPr>
            <w:tcW w:type="dxa" w:w="7654"/>
          </w:tcPr>
          <w:p>
            <w:r/>
            <w:r>
              <w:rPr>
                <w:sz w:val="19"/>
              </w:rPr>
              <w:t>Al ejecutar la prueba de CA1 el 01-10-2026, en el cierre del sprint. La pantalla no lo evidenciaba porque nadie había creado una plantilla desde cero y completado el ciclo</w:t>
            </w:r>
          </w:p>
        </w:tc>
      </w:tr>
      <w:tr>
        <w:tc>
          <w:tcPr>
            <w:tcW w:type="dxa" w:w="1984"/>
          </w:tcPr>
          <w:p>
            <w:r/>
            <w:r>
              <w:rPr>
                <w:sz w:val="19"/>
              </w:rPr>
              <w:t>Corrección</w:t>
            </w:r>
          </w:p>
        </w:tc>
        <w:tc>
          <w:tcPr>
            <w:tcW w:type="dxa" w:w="7654"/>
          </w:tcPr>
          <w:p>
            <w:r/>
            <w:r>
              <w:rPr>
                <w:sz w:val="19"/>
              </w:rPr>
              <w:t>BD/321: la versión 1 se crea en la misma transacción que la plantilla, más la reparación de las plantillas que habían quedado sin versión</w:t>
            </w:r>
          </w:p>
        </w:tc>
      </w:tr>
      <w:tr>
        <w:tc>
          <w:tcPr>
            <w:tcW w:type="dxa" w:w="1984"/>
          </w:tcPr>
          <w:p>
            <w:r/>
            <w:r>
              <w:rPr>
                <w:sz w:val="19"/>
              </w:rPr>
              <w:t>Lección</w:t>
            </w:r>
          </w:p>
        </w:tc>
        <w:tc>
          <w:tcPr>
            <w:tcW w:type="dxa" w:w="7654"/>
          </w:tcPr>
          <w:p>
            <w:r/>
            <w:r>
              <w:rPr>
                <w:sz w:val="19"/>
              </w:rPr>
              <w:t>El defecto estuvo dos semanas en el código. No lo encontró una revisión: lo encontró ejecutar la prueba del criterio de aceptación</w:t>
            </w:r>
          </w:p>
        </w:tc>
      </w:tr>
    </w:tbl>
    <w:p>
      <w:pPr>
        <w:spacing w:after="40"/>
      </w:pPr>
    </w:p>
    <w:p>
      <w:pPr>
        <w:pStyle w:val="Heading1"/>
      </w:pPr>
      <w:r>
        <w:t>6. Acuerdos para el Sprint 5</w:t>
      </w:r>
    </w:p>
    <w:tbl>
      <w:tblPr>
        <w:tblW w:type="auto" w:w="0"/>
        <w:tblLook w:firstColumn="1" w:firstRow="1" w:lastColumn="0" w:lastRow="0" w:noHBand="0" w:noVBand="1" w:val="04A0"/>
        <w:jc w:val="center"/>
        <w:tblBorders>
          <w:top w:val="single" w:sz="4" w:color="BFBFBF"/>
          <w:left w:val="single" w:sz="4" w:color="BFBFBF"/>
          <w:bottom w:val="single" w:sz="4" w:color="BFBFBF"/>
          <w:right w:val="single" w:sz="4" w:color="BFBFBF"/>
          <w:insideH w:val="single" w:sz="4" w:color="BFBFBF"/>
          <w:insideV w:val="single" w:sz="4" w:color="BFBFBF"/>
        </w:tblBorders>
      </w:tblPr>
      <w:tblGrid>
        <w:gridCol w:w="2436"/>
        <w:gridCol w:w="2436"/>
        <w:gridCol w:w="2436"/>
        <w:gridCol w:w="2436"/>
      </w:tblGrid>
      <w:tr>
        <w:tc>
          <w:tcPr>
            <w:tcW w:type="dxa" w:w="737"/>
            <w:shd w:val="clear" w:color="auto" w:fill="E8E5F7"/>
          </w:tcPr>
          <w:p>
            <w:r/>
            <w:r>
              <w:rPr>
                <w:b/>
                <w:sz w:val="19"/>
              </w:rPr>
              <w:t>N.º</w:t>
            </w:r>
          </w:p>
        </w:tc>
        <w:tc>
          <w:tcPr>
            <w:tcW w:type="dxa" w:w="5216"/>
            <w:shd w:val="clear" w:color="auto" w:fill="E8E5F7"/>
          </w:tcPr>
          <w:p>
            <w:r/>
            <w:r>
              <w:rPr>
                <w:b/>
                <w:sz w:val="19"/>
              </w:rPr>
              <w:t>Acuerdo</w:t>
            </w:r>
          </w:p>
        </w:tc>
        <w:tc>
          <w:tcPr>
            <w:tcW w:type="dxa" w:w="1701"/>
            <w:shd w:val="clear" w:color="auto" w:fill="E8E5F7"/>
          </w:tcPr>
          <w:p>
            <w:r/>
            <w:r>
              <w:rPr>
                <w:b/>
                <w:sz w:val="19"/>
              </w:rPr>
              <w:t>Responsable</w:t>
            </w:r>
          </w:p>
        </w:tc>
        <w:tc>
          <w:tcPr>
            <w:tcW w:type="dxa" w:w="1984"/>
            <w:shd w:val="clear" w:color="auto" w:fill="E8E5F7"/>
          </w:tcPr>
          <w:p>
            <w:r/>
            <w:r>
              <w:rPr>
                <w:b/>
                <w:sz w:val="19"/>
              </w:rPr>
              <w:t>Cuándo se verifica</w:t>
            </w:r>
          </w:p>
        </w:tc>
      </w:tr>
      <w:tr>
        <w:tc>
          <w:tcPr>
            <w:tcW w:type="dxa" w:w="737"/>
          </w:tcPr>
          <w:p>
            <w:r/>
            <w:r>
              <w:rPr>
                <w:sz w:val="19"/>
              </w:rPr>
              <w:t>A14</w:t>
            </w:r>
          </w:p>
        </w:tc>
        <w:tc>
          <w:tcPr>
            <w:tcW w:type="dxa" w:w="5216"/>
          </w:tcPr>
          <w:p>
            <w:r/>
            <w:r>
              <w:rPr>
                <w:sz w:val="19"/>
              </w:rPr>
              <w:t>Un solo formato de evidencia: todo caso de prueba entra al manifiesto del sprint. El informe por historia puede seguir existiendo, pero el caso queda registrado en el manifiesto para que el informe del sprint salga completo sin consolidar a mano</w:t>
            </w:r>
          </w:p>
        </w:tc>
        <w:tc>
          <w:tcPr>
            <w:tcW w:type="dxa" w:w="1701"/>
          </w:tcPr>
          <w:p>
            <w:r/>
            <w:r>
              <w:rPr>
                <w:sz w:val="19"/>
              </w:rPr>
              <w:t>Equipo</w:t>
            </w:r>
          </w:p>
        </w:tc>
        <w:tc>
          <w:tcPr>
            <w:tcW w:type="dxa" w:w="1984"/>
          </w:tcPr>
          <w:p>
            <w:r/>
            <w:r>
              <w:rPr>
                <w:sz w:val="19"/>
              </w:rPr>
              <w:t>Cierre del Sprint 5</w:t>
            </w:r>
          </w:p>
        </w:tc>
      </w:tr>
      <w:tr>
        <w:tc>
          <w:tcPr>
            <w:tcW w:type="dxa" w:w="737"/>
          </w:tcPr>
          <w:p>
            <w:r/>
            <w:r>
              <w:rPr>
                <w:sz w:val="19"/>
              </w:rPr>
              <w:t>A15</w:t>
            </w:r>
          </w:p>
        </w:tc>
        <w:tc>
          <w:tcPr>
            <w:tcW w:type="dxa" w:w="5216"/>
          </w:tcPr>
          <w:p>
            <w:r/>
            <w:r>
              <w:rPr>
                <w:sz w:val="19"/>
              </w:rPr>
              <w:t>Una historia no pasa a «en revisión» sin sus pruebas ejecutadas. El estado «en revisión» queda reservado para lo que espera la validación de la Product Owner, no para lo que espera pruebas</w:t>
            </w:r>
          </w:p>
        </w:tc>
        <w:tc>
          <w:tcPr>
            <w:tcW w:type="dxa" w:w="1701"/>
          </w:tcPr>
          <w:p>
            <w:r/>
            <w:r>
              <w:rPr>
                <w:sz w:val="19"/>
              </w:rPr>
              <w:t>Equipo</w:t>
            </w:r>
          </w:p>
        </w:tc>
        <w:tc>
          <w:tcPr>
            <w:tcW w:type="dxa" w:w="1984"/>
          </w:tcPr>
          <w:p>
            <w:r/>
            <w:r>
              <w:rPr>
                <w:sz w:val="19"/>
              </w:rPr>
              <w:t>Daily, al mover el estado</w:t>
            </w:r>
          </w:p>
        </w:tc>
      </w:tr>
      <w:tr>
        <w:tc>
          <w:tcPr>
            <w:tcW w:type="dxa" w:w="737"/>
          </w:tcPr>
          <w:p>
            <w:r/>
            <w:r>
              <w:rPr>
                <w:sz w:val="19"/>
              </w:rPr>
              <w:t>A16</w:t>
            </w:r>
          </w:p>
        </w:tc>
        <w:tc>
          <w:tcPr>
            <w:tcW w:type="dxa" w:w="5216"/>
          </w:tcPr>
          <w:p>
            <w:r/>
            <w:r>
              <w:rPr>
                <w:sz w:val="19"/>
              </w:rPr>
              <w:t>La validación con la Product Owner se hace al terminar cada historia, no en el cierre del sprint</w:t>
            </w:r>
          </w:p>
        </w:tc>
        <w:tc>
          <w:tcPr>
            <w:tcW w:type="dxa" w:w="1701"/>
          </w:tcPr>
          <w:p>
            <w:r/>
            <w:r>
              <w:rPr>
                <w:sz w:val="19"/>
              </w:rPr>
              <w:t>Catalina Pescio</w:t>
            </w:r>
          </w:p>
        </w:tc>
        <w:tc>
          <w:tcPr>
            <w:tcW w:type="dxa" w:w="1984"/>
          </w:tcPr>
          <w:p>
            <w:r/>
            <w:r>
              <w:rPr>
                <w:sz w:val="19"/>
              </w:rPr>
              <w:t>Daily</w:t>
            </w:r>
          </w:p>
        </w:tc>
      </w:tr>
      <w:tr>
        <w:tc>
          <w:tcPr>
            <w:tcW w:type="dxa" w:w="737"/>
          </w:tcPr>
          <w:p>
            <w:r/>
            <w:r>
              <w:rPr>
                <w:sz w:val="19"/>
              </w:rPr>
              <w:t>A17</w:t>
            </w:r>
          </w:p>
        </w:tc>
        <w:tc>
          <w:tcPr>
            <w:tcW w:type="dxa" w:w="5216"/>
          </w:tcPr>
          <w:p>
            <w:r/>
            <w:r>
              <w:rPr>
                <w:sz w:val="19"/>
              </w:rPr>
              <w:t>Las horas reales se registran al cerrar cada tarea. Tercer intento del mismo acuerdo: si al cierre del Sprint 5 vuelve a estar vacío, se deja de estimar en horas y se estima solo en puntos</w:t>
            </w:r>
          </w:p>
        </w:tc>
        <w:tc>
          <w:tcPr>
            <w:tcW w:type="dxa" w:w="1701"/>
          </w:tcPr>
          <w:p>
            <w:r/>
            <w:r>
              <w:rPr>
                <w:sz w:val="19"/>
              </w:rPr>
              <w:t>Equipo</w:t>
            </w:r>
          </w:p>
        </w:tc>
        <w:tc>
          <w:tcPr>
            <w:tcW w:type="dxa" w:w="1984"/>
          </w:tcPr>
          <w:p>
            <w:r/>
            <w:r>
              <w:rPr>
                <w:sz w:val="19"/>
              </w:rPr>
              <w:t>Cierre del Sprint 5</w:t>
            </w:r>
          </w:p>
        </w:tc>
      </w:tr>
    </w:tbl>
    <w:p>
      <w:pPr>
        <w:spacing w:after="40"/>
      </w:pPr>
    </w:p>
    <w:p>
      <w:pPr>
        <w:pStyle w:val="Heading1"/>
      </w:pPr>
      <w:r>
        <w:t>7. Ajustes a la Definition of Done</w:t>
      </w:r>
    </w:p>
    <w:p>
      <w:pPr>
        <w:pStyle w:val="ListBullet"/>
        <w:spacing w:after="60"/>
      </w:pPr>
      <w:r>
        <w:rPr>
          <w:b/>
          <w:sz w:val="21"/>
        </w:rPr>
        <w:t xml:space="preserve">Se agrega: </w:t>
      </w:r>
      <w:r>
        <w:rPr>
          <w:sz w:val="21"/>
        </w:rPr>
        <w:t>el caso de prueba de cada criterio de aceptación queda registrado en el manifiesto del sprint, cualquiera sea el formato en que se documente además (acuerdo A14).</w:t>
      </w:r>
    </w:p>
    <w:p>
      <w:pPr>
        <w:pStyle w:val="ListBullet"/>
        <w:spacing w:after="60"/>
      </w:pPr>
      <w:r>
        <w:rPr>
          <w:b/>
          <w:sz w:val="21"/>
        </w:rPr>
        <w:t xml:space="preserve">Se precisa: </w:t>
      </w:r>
      <w:r>
        <w:rPr>
          <w:sz w:val="21"/>
        </w:rPr>
        <w:t>«en revisión» significa construida y probada, a la espera de la validación con la Product Owner (acuerdo A15).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