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6F8B"/>
          <w:sz w:val="18"/>
        </w:rPr>
        <w:t>INFORME DE PRUEBAS · API REST</w:t>
      </w:r>
    </w:p>
    <w:p>
      <w:pPr>
        <w:spacing w:after="40"/>
      </w:pPr>
      <w:r>
        <w:rPr>
          <w:b/>
          <w:color w:val="20252B"/>
          <w:sz w:val="48"/>
        </w:rPr>
        <w:t>Iniciar sesión en SIGMA</w:t>
      </w:r>
    </w:p>
    <w:p>
      <w:pPr>
        <w:spacing w:after="200" w:before="0"/>
      </w:pPr>
      <w:r>
        <w:rPr>
          <w:b w:val="0"/>
          <w:i w:val="0"/>
          <w:color w:val="5A6473"/>
          <w:sz w:val="24"/>
        </w:rPr>
        <w:t>Historia HU-001 · Endpoint POST /sesion · Pruebas con Postman y documentación en Swagger</w:t>
      </w:r>
    </w:p>
    <w:p>
      <w:pPr>
        <w:spacing w:before="40" w:after="160"/>
        <w:pBdr>
          <w:bottom w:val="single" w:sz="6" w:space="1" w:color="C7CDD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192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Proyecto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SIGMA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Módulo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API REST — Autenticación (app móvil)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Historia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HU-001 — Iniciar sesión en SIGMA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Tareas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T-1011 (Pruebas) · T-1012 (Documentación en Swagger)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Responsable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Catalina Pescio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Endpoint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POST /sesion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URL base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http://localhost/SIGMA/Servicio/API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Herramientas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Postman (colección de pruebas) · Swagger (Swashbuckle 5.6.0)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Fecha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03-09-2026</w:t>
            </w:r>
          </w:p>
        </w:tc>
      </w:tr>
    </w:tbl>
    <w:p>
      <w:pPr>
        <w:pStyle w:val="Heading1"/>
      </w:pPr>
      <w:r>
        <w:t>1. Introducción y alcance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Este informe documenta las pruebas realizadas sobre el endpoint de inicio de sesión de la API de SIGMA (HU-001), su documentación en Swagger, y los defectos encontrados, con sus posibles soluciones al final.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Se ejecutó un caso de prueba por cada uno de los cuatro criterios de aceptación (CA) de HU-001, por sus dos canales: la API (con una colección de Postman) y la interfaz web del sitio Intranet. Como evidencia se incluyen las peticiones, las respuestas reales del servidor, capturas de la interfaz de Swagger y capturas del navegador durante las pruebas web.</w:t>
      </w:r>
    </w:p>
    <w:p>
      <w:pPr>
        <w:pStyle w:val="Heading1"/>
      </w:pPr>
      <w:r>
        <w:t>2. Entorno y herramientas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6192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Tecnología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ASP.NET Web API 2 · .NET Framework 4.8 · Autenticación JWT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Documentación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Swagger (Swashbuckle 5.6.0), publicado en /swagger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Pruebas (API)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Colección Postman «SIGMA · HU-001 Login» (un request por criterio, con assertions)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Pruebas (web)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Sitio Intranet en http://localhost/SIGMA/Intranet (compilado y en ejecución)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Base de datos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db_acd593_sigma — respondiendo</w:t>
            </w:r>
          </w:p>
        </w:tc>
      </w:tr>
      <w:tr>
        <w:tc>
          <w:tcPr>
            <w:tcW w:type="dxa" w:w="3168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Cuenta habilitada</w:t>
            </w:r>
          </w:p>
        </w:tc>
        <w:tc>
          <w:tcPr>
            <w:tcW w:type="dxa" w:w="619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catalina@codigocreativo.cl (cliente «Hamburgo SA»)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Cuenta deshabilitada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test.ca3@sigma.cl — creada para CA3 (usu_habilitado = 0)</w:t>
            </w:r>
          </w:p>
        </w:tc>
      </w:tr>
    </w:tbl>
    <w:p>
      <w:pPr>
        <w:spacing w:after="120" w:before="0"/>
      </w:pPr>
      <w:r>
        <w:rPr>
          <w:b w:val="0"/>
          <w:i/>
          <w:color w:val="5A6473"/>
          <w:sz w:val="18"/>
        </w:rPr>
        <w:t>Las cuentas de prueba son de desarrollo, sin valor productivo.</w:t>
      </w:r>
    </w:p>
    <w:p>
      <w:pPr>
        <w:pStyle w:val="Heading1"/>
      </w:pPr>
      <w:r>
        <w:t>3. Cómo lo muestra el sistema: documentación en Swagger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El endpoint quedó documentado y publicado en vivo. La interfaz de Swagger lista todos los recursos de la API (entre ellos «Sesion») y permite ejecutar cada endpoint con el botón «Try it out».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6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wagger_li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Interfaz de Swagger en /swagger: lista de recursos publicados por la API.</w:t>
      </w:r>
    </w:p>
    <w:p>
      <w:pPr>
        <w:spacing w:after="120" w:before="80"/>
      </w:pPr>
      <w:r>
        <w:rPr>
          <w:b w:val="0"/>
          <w:i w:val="0"/>
          <w:color w:val="20252B"/>
          <w:sz w:val="21"/>
        </w:rPr>
        <w:t>Al abrir POST /sesion, Swagger muestra las notas de implementación, el cuerpo esperado y la tabla de respuestas documentadas (200/401/402/403/423):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63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wagger_s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POST /sesion documentado en Swagger, con su cuerpo y las cinco respuestas.</w:t>
      </w:r>
    </w:p>
    <w:p>
      <w:pPr>
        <w:pStyle w:val="Heading1"/>
      </w:pPr>
      <w:r>
        <w:t>4. Método de prueba en Postman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Se construyó una colección Postman con un request por criterio de aceptación. Cada request lleva assertions (pm.test) que verifican el criterio: el resultado global (verde/rojo) refleja si el criterio se cumple.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Request</w:t>
            </w:r>
          </w:p>
        </w:tc>
        <w:tc>
          <w:tcPr>
            <w:tcW w:type="dxa" w:w="3312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Método y cuerpo</w:t>
            </w:r>
          </w:p>
        </w:tc>
        <w:tc>
          <w:tcPr>
            <w:tcW w:type="dxa" w:w="3312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Verificación principal (assertion)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CA1 · Credenciales válidas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POST /sesion · login+password correctos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HTTP 200 y devuelve un token JWT</w:t>
            </w:r>
          </w:p>
        </w:tc>
      </w:tr>
      <w:tr>
        <w:tc>
          <w:tcPr>
            <w:tcW w:type="dxa" w:w="2736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CA2 · Credenciales inválidas</w:t>
            </w:r>
          </w:p>
        </w:tc>
        <w:tc>
          <w:tcPr>
            <w:tcW w:type="dxa" w:w="331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POST /sesion · password incorrecta</w:t>
            </w:r>
          </w:p>
        </w:tc>
        <w:tc>
          <w:tcPr>
            <w:tcW w:type="dxa" w:w="331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HTTP 401 y mensaje «Correo o contraseña incorrectos»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CA3 · Cuenta deshabilitada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POST /sesion · cuenta deshabilitada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No inicia sesión y muestra «Su cuenta no está habilitada»</w:t>
            </w:r>
          </w:p>
        </w:tc>
      </w:tr>
      <w:tr>
        <w:tc>
          <w:tcPr>
            <w:tcW w:type="dxa" w:w="2736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CA4 · Bloqueo por intentos</w:t>
            </w:r>
          </w:p>
        </w:tc>
        <w:tc>
          <w:tcPr>
            <w:tcW w:type="dxa" w:w="331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POST /sesion · 5 intentos fallidos</w:t>
            </w:r>
          </w:p>
        </w:tc>
        <w:tc>
          <w:tcPr>
            <w:tcW w:type="dxa" w:w="331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HTTP 423 e informa el tiempo restante</w:t>
            </w:r>
          </w:p>
        </w:tc>
      </w:tr>
    </w:tbl>
    <w:p>
      <w:pPr>
        <w:spacing w:after="120" w:before="80"/>
      </w:pPr>
      <w:r>
        <w:rPr>
          <w:b w:val="0"/>
          <w:i w:val="0"/>
          <w:color w:val="20252B"/>
          <w:sz w:val="20"/>
        </w:rPr>
        <w:t>Para ejecutarla: Postman → Import → seleccionar el archivo de la colección; luego abrir cada request y pulsar Send (o usar el Collection Runner). Los resultados aparecen en la pestaña «Test Results».</w:t>
      </w:r>
    </w:p>
    <w:p>
      <w:pPr>
        <w:spacing w:after="80" w:before="80"/>
      </w:pPr>
      <w:r>
        <w:rPr>
          <w:b/>
          <w:i w:val="0"/>
          <w:color w:val="20252B"/>
          <w:sz w:val="21"/>
        </w:rPr>
        <w:t>Capturas del proceso de testing en Postman: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01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c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Colección importada con los 4 requests. CA1 devuelve 200 y la pestaña «Test Results 2/3»: dos tests pasan y uno falla (Defecto 1, backing fields).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01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c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CA3 en Postman: la API responde 403 con el mensaje genérico del framework (Defecto 2).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01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ca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CA4 en Postman: tras los intentos fallidos, 423 «Su cuenta está bloqueada… Vuelva a intentar en 16 minuto(s)».</w:t>
      </w:r>
    </w:p>
    <w:p>
      <w:pPr>
        <w:pStyle w:val="Heading1"/>
      </w:pPr>
      <w:r>
        <w:t>5. Pruebas de la API (Postman): casos y evidencias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Evidencia de cada ejecución contra la API: la petición enviada y la respuesta real del servidor (como la muestra el sistema).</w:t>
      </w:r>
    </w:p>
    <w:p>
      <w:pPr>
        <w:pStyle w:val="Heading2"/>
      </w:pPr>
      <w:r>
        <w:t>CA1 · Credenciales válidas</w:t>
      </w:r>
    </w:p>
    <w:p>
      <w:pPr>
        <w:spacing w:after="120" w:before="0"/>
      </w:pPr>
      <w:r>
        <w:rPr>
          <w:b w:val="0"/>
          <w:i/>
          <w:color w:val="5A6473"/>
          <w:sz w:val="19"/>
        </w:rPr>
        <w:t>Criterio: cuenta habilitada + credenciales correctas → accede y se registra el último acceso.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POST /sesion   { "login": "catalina@codigocreativo.cl", "password": "1" }</w:t>
      </w:r>
    </w:p>
    <w:p>
      <w:pPr>
        <w:spacing w:after="40" w:before="0"/>
      </w:pPr>
      <w:r>
        <w:rPr>
          <w:b/>
          <w:i w:val="0"/>
          <w:color w:val="20252B"/>
          <w:sz w:val="21"/>
        </w:rPr>
        <w:t>Respuesta — HTTP 200: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{ "&lt;usuario&gt;k__BackingField": 3,</w:t>
        <w:br/>
      </w:r>
      <w:r>
        <w:rPr>
          <w:rFonts w:ascii="Consolas" w:hAnsi="Consolas"/>
          <w:color w:val="20252B"/>
          <w:sz w:val="17"/>
        </w:rPr>
        <w:t xml:space="preserve">  "&lt;cliente_nombre&gt;k__BackingField": "Hamburgo SA",</w:t>
        <w:br/>
      </w:r>
      <w:r>
        <w:rPr>
          <w:rFonts w:ascii="Consolas" w:hAnsi="Consolas"/>
          <w:color w:val="20252B"/>
          <w:sz w:val="17"/>
        </w:rPr>
        <w:t xml:space="preserve">  "&lt;token&gt;k__BackingField": "eyJhbGciOiJIUzI1NiIsInR5cCI6IkpXVCJ9...",</w:t>
        <w:br/>
      </w:r>
      <w:r>
        <w:rPr>
          <w:rFonts w:ascii="Consolas" w:hAnsi="Consolas"/>
          <w:color w:val="20252B"/>
          <w:sz w:val="17"/>
        </w:rPr>
        <w:t xml:space="preserve">  "&lt;expira_minutos&gt;k__BackingField": 480 }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 xml:space="preserve">Veredicto — </w:t>
      </w:r>
      <w:r>
        <w:rPr>
          <w:b/>
          <w:color w:val="B8433B"/>
          <w:sz w:val="21"/>
        </w:rPr>
        <w:t>No cumple</w:t>
      </w:r>
      <w:r>
        <w:rPr>
          <w:sz w:val="21"/>
        </w:rPr>
        <w:t xml:space="preserve">  Concede el acceso (200 + token), pero la respuesta expone los backing fields en vez de las propiedades. Ver Defecto 1.</w:t>
      </w:r>
    </w:p>
    <w:p>
      <w:pPr>
        <w:pStyle w:val="Heading2"/>
      </w:pPr>
      <w:r>
        <w:t>CA2 · Credenciales inválidas</w:t>
      </w:r>
    </w:p>
    <w:p>
      <w:pPr>
        <w:spacing w:after="120" w:before="0"/>
      </w:pPr>
      <w:r>
        <w:rPr>
          <w:b w:val="0"/>
          <w:i/>
          <w:color w:val="5A6473"/>
          <w:sz w:val="19"/>
        </w:rPr>
        <w:t>Criterio: password incorrecta → 401 con «Correo o contraseña incorrectos», sin revelar el campo, y queda en el log.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POST /sesion   { "login": "catalina@codigocreativo.cl", "password": "clave_incorrecta_xyz" }</w:t>
      </w:r>
    </w:p>
    <w:p>
      <w:pPr>
        <w:spacing w:after="40" w:before="0"/>
      </w:pPr>
      <w:r>
        <w:rPr>
          <w:b/>
          <w:i w:val="0"/>
          <w:color w:val="20252B"/>
          <w:sz w:val="21"/>
        </w:rPr>
        <w:t>Respuesta — HTTP 401: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{ "Message": "Equivalent to HTTP status 401. Unauthorized indicates</w:t>
        <w:br/>
      </w:r>
      <w:r>
        <w:rPr>
          <w:rFonts w:ascii="Consolas" w:hAnsi="Consolas"/>
          <w:color w:val="20252B"/>
          <w:sz w:val="17"/>
        </w:rPr>
        <w:t xml:space="preserve">   that the requested resource requires authentication..." }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 xml:space="preserve">Veredicto — </w:t>
      </w:r>
      <w:r>
        <w:rPr>
          <w:b/>
          <w:color w:val="B8433B"/>
          <w:sz w:val="21"/>
        </w:rPr>
        <w:t>No cumple</w:t>
      </w:r>
      <w:r>
        <w:rPr>
          <w:sz w:val="21"/>
        </w:rPr>
        <w:t xml:space="preserve">  El código 401 es correcto, pero el cuerpo no trae el mensaje exigido: llega un texto genérico en inglés. Ver Defecto 2.</w:t>
      </w:r>
    </w:p>
    <w:p>
      <w:pPr>
        <w:pStyle w:val="Heading2"/>
      </w:pPr>
      <w:r>
        <w:t>CA3 · Cuenta deshabilitada</w:t>
      </w:r>
    </w:p>
    <w:p>
      <w:pPr>
        <w:spacing w:after="120" w:before="0"/>
      </w:pPr>
      <w:r>
        <w:rPr>
          <w:b w:val="0"/>
          <w:i/>
          <w:color w:val="5A6473"/>
          <w:sz w:val="19"/>
        </w:rPr>
        <w:t>Criterio: cuenta deshabilitada + credenciales correctas → «Su cuenta no está habilitada. Contacte al administrador» y no inicia sesión.</w:t>
      </w:r>
    </w:p>
    <w:p>
      <w:pPr>
        <w:spacing w:after="120" w:before="0"/>
      </w:pPr>
      <w:r>
        <w:rPr>
          <w:b w:val="0"/>
          <w:i w:val="0"/>
          <w:color w:val="5A6473"/>
          <w:sz w:val="19"/>
        </w:rPr>
        <w:t>Para este caso se creó la cuenta de prueba test.ca3@sigma.cl con usu_habilitado = 0.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POST /sesion   { "login": "test.ca3@sigma.cl", "password": "Test1234" }</w:t>
      </w:r>
    </w:p>
    <w:p>
      <w:pPr>
        <w:spacing w:after="40" w:before="0"/>
      </w:pPr>
      <w:r>
        <w:rPr>
          <w:b/>
          <w:i w:val="0"/>
          <w:color w:val="20252B"/>
          <w:sz w:val="21"/>
        </w:rPr>
        <w:t>Respuesta — HTTP 403: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{ "Message": "Equivalent to HTTP status 403. Forbidden indicates that</w:t>
        <w:br/>
      </w:r>
      <w:r>
        <w:rPr>
          <w:rFonts w:ascii="Consolas" w:hAnsi="Consolas"/>
          <w:color w:val="20252B"/>
          <w:sz w:val="17"/>
        </w:rPr>
        <w:t xml:space="preserve">   the server refuses to fulfill the request." }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 xml:space="preserve">Veredicto — </w:t>
      </w:r>
      <w:r>
        <w:rPr>
          <w:b/>
          <w:color w:val="B8433B"/>
          <w:sz w:val="21"/>
        </w:rPr>
        <w:t>No cumple (parcial)</w:t>
      </w:r>
      <w:r>
        <w:rPr>
          <w:sz w:val="21"/>
        </w:rPr>
        <w:t xml:space="preserve">  No inicia sesión (403, sin token), que es correcto. Pero el mensaje exigido no llega: SEL_LOGIN sí genera «Su cuenta no está habilitada», y el cliente recibe el texto genérico. Confirma que el Defecto 2 también afecta al 403, no solo al 401.</w:t>
      </w:r>
    </w:p>
    <w:p>
      <w:pPr>
        <w:pStyle w:val="Heading2"/>
      </w:pPr>
      <w:r>
        <w:t>CA4 · Bloqueo por intentos fallidos</w:t>
      </w:r>
    </w:p>
    <w:p>
      <w:pPr>
        <w:spacing w:after="120" w:before="0"/>
      </w:pPr>
      <w:r>
        <w:rPr>
          <w:b w:val="0"/>
          <w:i/>
          <w:color w:val="5A6473"/>
          <w:sz w:val="19"/>
        </w:rPr>
        <w:t>Criterio: 5 fallos en 15 minutos → la cuenta se bloquea 15 minutos e informa el tiempo restante.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POST /sesion (x5)   { "login": "catalina@codigocreativo.cl", "password": "malaclave_N" }</w:t>
      </w:r>
    </w:p>
    <w:p>
      <w:pPr>
        <w:spacing w:after="40" w:before="0"/>
      </w:pPr>
      <w:r>
        <w:rPr>
          <w:b/>
          <w:i w:val="0"/>
          <w:color w:val="20252B"/>
          <w:sz w:val="21"/>
        </w:rPr>
        <w:t>Respuesta al superar el umbral — HTTP 423: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{ "codigo": 423,</w:t>
        <w:br/>
      </w:r>
      <w:r>
        <w:rPr>
          <w:rFonts w:ascii="Consolas" w:hAnsi="Consolas"/>
          <w:color w:val="20252B"/>
          <w:sz w:val="17"/>
        </w:rPr>
        <w:t xml:space="preserve">  "mensaje": "Su cuenta está bloqueada por intentos fallidos.</w:t>
        <w:br/>
      </w:r>
      <w:r>
        <w:rPr>
          <w:rFonts w:ascii="Consolas" w:hAnsi="Consolas"/>
          <w:color w:val="20252B"/>
          <w:sz w:val="17"/>
        </w:rPr>
        <w:t xml:space="preserve">              Vuelva a intentar en 15 minuto(s).",</w:t>
        <w:br/>
      </w:r>
      <w:r>
        <w:rPr>
          <w:rFonts w:ascii="Consolas" w:hAnsi="Consolas"/>
          <w:color w:val="20252B"/>
          <w:sz w:val="17"/>
        </w:rPr>
        <w:t xml:space="preserve">  "esDeNegocio": true }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 xml:space="preserve">Veredicto — </w:t>
      </w:r>
      <w:r>
        <w:rPr>
          <w:b/>
          <w:color w:val="2E7D5B"/>
          <w:sz w:val="21"/>
        </w:rPr>
        <w:t>Cumple</w:t>
      </w:r>
      <w:r>
        <w:rPr>
          <w:sz w:val="21"/>
        </w:rPr>
        <w:t xml:space="preserve">  Se bloquea, responde 423 e informa el tiempo restante. El 423 sí entrega su cuerpo en español (a diferencia del 401 y el 403).</w:t>
      </w:r>
    </w:p>
    <w:p>
      <w:pPr>
        <w:pStyle w:val="Heading1"/>
      </w:pPr>
      <w:r>
        <w:t>6. Pruebas por la interfaz web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El mismo login se probó por la interfaz web del sitio Intranet (http://localhost/SIGMA/Intranet), que es donde una persona inicia sesión en el día a día. Se ejecutaron los cuatro criterios desde el navegador (formato de escritorio) y se capturó cada resultado.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login_h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Página de login del sitio Intranet de SIGMA (interfaz web de escritorio).</w:t>
      </w:r>
    </w:p>
    <w:p>
      <w:pPr>
        <w:spacing w:after="80" w:before="80"/>
      </w:pPr>
      <w:r>
        <w:rPr>
          <w:b/>
          <w:i w:val="0"/>
          <w:color w:val="20252B"/>
          <w:sz w:val="21"/>
        </w:rPr>
        <w:t>Resultados observados en el navegador: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</w:t>
            </w:r>
          </w:p>
        </w:tc>
        <w:tc>
          <w:tcPr>
            <w:tcW w:type="dxa" w:w="2736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4464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Mensaje que mostró la web</w:t>
            </w:r>
          </w:p>
        </w:tc>
        <w:tc>
          <w:tcPr>
            <w:tcW w:type="dxa" w:w="1296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Verif.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CA1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Credenciales válidas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Autentica y entra a la pantalla de inicio (dashboard)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CA2</w:t>
            </w:r>
          </w:p>
        </w:tc>
        <w:tc>
          <w:tcPr>
            <w:tcW w:type="dxa" w:w="2736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Credenciales inválidas</w:t>
            </w:r>
          </w:p>
        </w:tc>
        <w:tc>
          <w:tcPr>
            <w:tcW w:type="dxa" w:w="4464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«Correo o contraseña incorrectos.»</w:t>
            </w:r>
          </w:p>
        </w:tc>
        <w:tc>
          <w:tcPr>
            <w:tcW w:type="dxa" w:w="1296"/>
            <w:shd w:val="clear" w:color="auto" w:fill="EEF2F5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Sí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CA3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Cuenta deshabilitada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«Su cuenta no está habilitada. Contacte al administrador.»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CA4</w:t>
            </w:r>
          </w:p>
        </w:tc>
        <w:tc>
          <w:tcPr>
            <w:tcW w:type="dxa" w:w="2736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Bloqueo por intentos</w:t>
            </w:r>
          </w:p>
        </w:tc>
        <w:tc>
          <w:tcPr>
            <w:tcW w:type="dxa" w:w="4464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«Su cuenta está bloqueada… Vuelva a intentar en 15 minuto(s).»</w:t>
            </w:r>
          </w:p>
        </w:tc>
        <w:tc>
          <w:tcPr>
            <w:tcW w:type="dxa" w:w="1296"/>
            <w:shd w:val="clear" w:color="auto" w:fill="EEF2F5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Sí</w:t>
            </w:r>
          </w:p>
        </w:tc>
      </w:tr>
    </w:tbl>
    <w:p>
      <w:pPr>
        <w:spacing w:after="80" w:before="120"/>
      </w:pPr>
      <w:r>
        <w:rPr>
          <w:b/>
          <w:i w:val="0"/>
          <w:color w:val="20252B"/>
          <w:sz w:val="21"/>
        </w:rPr>
        <w:t>Evidencia — capturas del navegador durante las pruebas: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7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a1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CA1 — Credenciales válidas: acceso concedido, pantalla de inicio («¡Hola, Catalina!»).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a2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CA2 — Credenciales inválidas: «Correo o contraseña incorrectos.»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a3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CA3 — Cuenta deshabilitada: «Su cuenta no está habilitada. Contacte al administrador.»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a4_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A6473"/>
          <w:sz w:val="17"/>
        </w:rPr>
        <w:t>Figura — CA4 — Bloqueo por intentos: «Su cuenta está bloqueada… Vuelva a intentar en 15 minuto(s).»</w:t>
      </w:r>
    </w:p>
    <w:p>
      <w:pPr>
        <w:pStyle w:val="Heading1"/>
      </w:pPr>
      <w:r>
        <w:t>7. Resultados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Comparación de los cuatro criterios en los dos canales probados: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</w:t>
            </w:r>
          </w:p>
        </w:tc>
        <w:tc>
          <w:tcPr>
            <w:tcW w:type="dxa" w:w="3312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2304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Interfaz web</w:t>
            </w:r>
          </w:p>
        </w:tc>
        <w:tc>
          <w:tcPr>
            <w:tcW w:type="dxa" w:w="3456"/>
            <w:shd w:val="clear" w:color="auto" w:fill="1F6F8B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API (Postman)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Credenciales válidas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Cumple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No cumple (Defecto 1)</w:t>
            </w:r>
          </w:p>
        </w:tc>
      </w:tr>
      <w:tr>
        <w:tc>
          <w:tcPr>
            <w:tcW w:type="dxa" w:w="864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CA2</w:t>
            </w:r>
          </w:p>
        </w:tc>
        <w:tc>
          <w:tcPr>
            <w:tcW w:type="dxa" w:w="331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Credenciales inválidas</w:t>
            </w:r>
          </w:p>
        </w:tc>
        <w:tc>
          <w:tcPr>
            <w:tcW w:type="dxa" w:w="2304"/>
            <w:shd w:val="clear" w:color="auto" w:fill="EEF2F5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Cumple</w:t>
            </w:r>
          </w:p>
        </w:tc>
        <w:tc>
          <w:tcPr>
            <w:tcW w:type="dxa" w:w="3456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No cumple (Defecto 2)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Cuenta deshabilitada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Cumple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No cumple (Defecto 2)</w:t>
            </w:r>
          </w:p>
        </w:tc>
      </w:tr>
      <w:tr>
        <w:tc>
          <w:tcPr>
            <w:tcW w:type="dxa" w:w="864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CA4</w:t>
            </w:r>
          </w:p>
        </w:tc>
        <w:tc>
          <w:tcPr>
            <w:tcW w:type="dxa" w:w="3312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Bloqueo por intentos</w:t>
            </w:r>
          </w:p>
        </w:tc>
        <w:tc>
          <w:tcPr>
            <w:tcW w:type="dxa" w:w="2304"/>
            <w:shd w:val="clear" w:color="auto" w:fill="EEF2F5"/>
          </w:tcPr>
          <w:p>
            <w:pPr>
              <w:spacing w:after="40" w:before="40"/>
            </w:pPr>
            <w:r>
              <w:rPr>
                <w:b/>
                <w:color w:val="2E7D5B"/>
                <w:sz w:val="19"/>
              </w:rPr>
              <w:t>Cumple</w:t>
            </w:r>
          </w:p>
        </w:tc>
        <w:tc>
          <w:tcPr>
            <w:tcW w:type="dxa" w:w="3456"/>
            <w:shd w:val="clear" w:color="auto" w:fill="EEF2F5"/>
          </w:tcPr>
          <w:p>
            <w:pPr>
              <w:spacing w:after="40" w:before="40"/>
            </w:pPr>
            <w:r>
              <w:rPr>
                <w:b w:val="0"/>
                <w:color w:val="20252B"/>
                <w:sz w:val="19"/>
              </w:rPr>
              <w:t>Cumple</w:t>
            </w:r>
          </w:p>
        </w:tc>
      </w:tr>
    </w:tbl>
    <w:p>
      <w:pPr>
        <w:spacing w:after="120" w:before="80"/>
      </w:pPr>
      <w:r>
        <w:rPr>
          <w:b w:val="0"/>
          <w:i w:val="0"/>
          <w:color w:val="20252B"/>
          <w:sz w:val="21"/>
        </w:rPr>
        <w:t>Por la interfaz web los cuatro criterios cumplen y los mensajes llegan correctos, en español. Por la API fallan CA1, CA2 y CA3. Esto acota los dos defectos a la capa API: la lógica de negocio (SEL_LOGIN) es correcta —la web la usa y funciona—; lo que resta corregir es cómo la API serializa la respuesta (Defecto 1) y cómo su handler reemplaza los mensajes de error (Defecto 2).</w:t>
      </w:r>
    </w:p>
    <w:p>
      <w:pPr>
        <w:pStyle w:val="Heading1"/>
      </w:pPr>
      <w:r>
        <w:t>8. Defectos encontrados</w:t>
      </w:r>
    </w:p>
    <w:p>
      <w:pPr>
        <w:pStyle w:val="Heading2"/>
      </w:pPr>
      <w:r>
        <w:t>Defecto 1 · El login exitoso serializa los backing fields</w:t>
      </w:r>
    </w:p>
    <w:p>
      <w:pPr>
        <w:spacing w:after="40" w:before="0"/>
      </w:pPr>
      <w:r>
        <w:rPr>
          <w:b/>
          <w:i w:val="0"/>
          <w:color w:val="B8433B"/>
          <w:sz w:val="21"/>
        </w:rPr>
        <w:t>Severidad: alta.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La respuesta 200 entrega las claves como «&lt;token&gt;k__BackingField» en vez de «token». Un cliente no puede leer el token por su nombre: el login queda inutilizable de extremo a extremo pese al 200.</w:t>
      </w:r>
    </w:p>
    <w:p>
      <w:pPr>
        <w:spacing w:after="120" w:before="0"/>
      </w:pPr>
      <w:r>
        <w:rPr>
          <w:b w:val="0"/>
          <w:i w:val="0"/>
          <w:color w:val="5A6473"/>
          <w:sz w:val="19"/>
        </w:rPr>
        <w:t>Causa: la clase SesionDto está marcada con [Serializable]; los DTOs sin ese atributo se serializan correctamente.</w:t>
      </w:r>
    </w:p>
    <w:p>
      <w:pPr>
        <w:pStyle w:val="Heading2"/>
      </w:pPr>
      <w:r>
        <w:t>Defecto 2 · Los 401 y 403 pierden el mensaje del controlador</w:t>
      </w:r>
    </w:p>
    <w:p>
      <w:pPr>
        <w:spacing w:after="40" w:before="0"/>
      </w:pPr>
      <w:r>
        <w:rPr>
          <w:b/>
          <w:i w:val="0"/>
          <w:color w:val="9A6A12"/>
          <w:sz w:val="21"/>
        </w:rPr>
        <w:t>Severidad: media.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El controlador construye mensajes propios («Correo o contraseña incorrectos», «Su cuenta no está habilitada…»), pero el cliente recibe un texto genérico del framework en inglés. Los códigos HTTP son correctos; el texto no llega.</w:t>
      </w:r>
    </w:p>
    <w:p>
      <w:pPr>
        <w:spacing w:after="120" w:before="0"/>
      </w:pPr>
      <w:r>
        <w:rPr>
          <w:b w:val="0"/>
          <w:i w:val="0"/>
          <w:color w:val="5A6473"/>
          <w:sz w:val="19"/>
        </w:rPr>
        <w:t>Causa localizada: la clase WebApiCustomMessageHandler intercepta las respuestas por código de estado y reemplaza el cuerpo. Afecta al 401 y al 403 (el 423 conserva su cuerpo).</w:t>
      </w:r>
    </w:p>
    <w:p>
      <w:pPr>
        <w:pStyle w:val="Heading1"/>
      </w:pPr>
      <w:r>
        <w:t>9. Soluciones e indicaciones para corregir</w:t>
      </w:r>
    </w:p>
    <w:p>
      <w:pPr>
        <w:pStyle w:val="Heading2"/>
      </w:pPr>
      <w:r>
        <w:t>Corrección del Defecto 1 (backing fields)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Quitar el atributo [Serializable] de la clase SesionDto en MVC/Model/Dto.cs. Ese atributo hace que el serializador emita los campos de respaldo en vez de las propiedades.</w:t>
      </w:r>
    </w:p>
    <w:p>
      <w:pPr>
        <w:spacing w:after="40" w:before="0"/>
      </w:pPr>
      <w:r>
        <w:rPr>
          <w:b/>
          <w:i w:val="0"/>
          <w:color w:val="20252B"/>
          <w:sz w:val="21"/>
        </w:rPr>
        <w:t>Antes: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[Serializable]</w:t>
        <w:br/>
      </w:r>
      <w:r>
        <w:rPr>
          <w:rFonts w:ascii="Consolas" w:hAnsi="Consolas"/>
          <w:color w:val="20252B"/>
          <w:sz w:val="17"/>
        </w:rPr>
        <w:t>public class SesionDto { public string token { get; set; } ... }</w:t>
      </w:r>
    </w:p>
    <w:p>
      <w:pPr>
        <w:spacing w:after="40" w:before="0"/>
      </w:pPr>
      <w:r>
        <w:rPr>
          <w:b/>
          <w:i w:val="0"/>
          <w:color w:val="20252B"/>
          <w:sz w:val="21"/>
        </w:rPr>
        <w:t>Después:</w:t>
      </w:r>
    </w:p>
    <w:p>
      <w:pPr>
        <w:spacing w:before="40" w:after="160"/>
        <w:ind w:left="120" w:right="120"/>
        <w:shd w:val="clear" w:color="auto" w:fill="F2F4F6"/>
        <w:pBdr>
          <w:top w:val="single" w:sz="4" w:space="6" w:color="D5DBE0"/>
          <w:left w:val="single" w:sz="4" w:space="6" w:color="D5DBE0"/>
          <w:bottom w:val="single" w:sz="4" w:space="6" w:color="D5DBE0"/>
          <w:right w:val="single" w:sz="4" w:space="6" w:color="D5DBE0"/>
        </w:pBdr>
      </w:pPr>
      <w:r>
        <w:rPr>
          <w:rFonts w:ascii="Consolas" w:hAnsi="Consolas"/>
          <w:color w:val="20252B"/>
          <w:sz w:val="17"/>
        </w:rPr>
        <w:t>public class SesionDto { public string token { get; set; } ... }</w:t>
      </w:r>
    </w:p>
    <w:p>
      <w:pPr>
        <w:spacing w:after="120" w:before="0"/>
      </w:pPr>
      <w:r>
        <w:rPr>
          <w:b w:val="0"/>
          <w:i w:val="0"/>
          <w:color w:val="20252B"/>
          <w:sz w:val="20"/>
        </w:rPr>
        <w:t>Luego recompilar y volver a ejecutar CA1: la respuesta debe salir con «token», «usuario», «cliente», etc., y el token debe poder leerse por su nombre.</w:t>
      </w:r>
    </w:p>
    <w:p>
      <w:pPr>
        <w:pStyle w:val="Heading2"/>
      </w:pPr>
      <w:r>
        <w:t>Corrección del Defecto 2 (mensajes de 401/403)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El WebApiCustomMessageHandler reemplaza el cuerpo de las respuestas de error por textos genéricos, pisando los mensajes que ya construye la API. Opciones, de menor a mayor alcance:</w:t>
      </w:r>
    </w:p>
    <w:p>
      <w:pPr>
        <w:pStyle w:val="ListBullet"/>
        <w:spacing w:after="60"/>
      </w:pPr>
      <w:r>
        <w:rPr>
          <w:sz w:val="21"/>
        </w:rPr>
        <w:t>Que el handler NO toque las respuestas que ya traen un cuerpo propio (por ejemplo, cuando el contenido es del tipo ErrorApi que arma ApiBase). Es el arreglo más acotado y de menor riesgo.</w:t>
      </w:r>
    </w:p>
    <w:p>
      <w:pPr>
        <w:pStyle w:val="ListBullet"/>
        <w:spacing w:after="60"/>
      </w:pPr>
      <w:r>
        <w:rPr>
          <w:sz w:val="21"/>
        </w:rPr>
        <w:t>Excluir explícitamente los códigos que la API maneja con mensaje propio (401, 403, 404, 409, 423…), dejando que el handler actúe solo sobre respuestas sin cuerpo.</w:t>
      </w:r>
    </w:p>
    <w:p>
      <w:pPr>
        <w:pStyle w:val="ListBullet"/>
        <w:spacing w:after="60"/>
      </w:pPr>
      <w:r>
        <w:rPr>
          <w:sz w:val="21"/>
        </w:rPr>
        <w:t>Si el objetivo original del handler ya no se usa, evaluar retirarlo y dejar que ApiBase y ErrorSql definan el cuerpo de cada error de forma uniforme.</w:t>
      </w:r>
    </w:p>
    <w:p>
      <w:pPr>
        <w:spacing w:after="120" w:before="40"/>
      </w:pPr>
      <w:r>
        <w:rPr>
          <w:b w:val="0"/>
          <w:i w:val="0"/>
          <w:color w:val="20252B"/>
          <w:sz w:val="20"/>
        </w:rPr>
        <w:t>Además, revisar que IIS no reemplace por su cuenta el cuerpo de los 401/403 (existingResponse="PassThrough" en &lt;httpErrors&gt;). Tras el cambio, re-ejecutar CA2 y CA3: deben mostrar el mensaje en español que genera SEL_LOGIN.</w:t>
      </w:r>
    </w:p>
    <w:p>
      <w:pPr>
        <w:pStyle w:val="Heading2"/>
      </w:pPr>
      <w:r>
        <w:t>Otras indicaciones</w:t>
      </w:r>
    </w:p>
    <w:p>
      <w:pPr>
        <w:pStyle w:val="ListBullet"/>
        <w:spacing w:after="60"/>
      </w:pPr>
      <w:r>
        <w:rPr>
          <w:sz w:val="21"/>
        </w:rPr>
        <w:t>Verificar en base de datos el registro de último acceso (sub-criterio de CA1) y el registro en el log de excepciones (sub-criterio de CA2).</w:t>
      </w:r>
    </w:p>
    <w:p>
      <w:pPr>
        <w:pStyle w:val="ListBullet"/>
        <w:spacing w:after="60"/>
      </w:pPr>
      <w:r>
        <w:rPr>
          <w:sz w:val="21"/>
        </w:rPr>
        <w:t>Al terminar, eliminar la cuenta de prueba test.ca3@sigma.cl (el script de creación incluye el bloque de limpieza).</w:t>
      </w:r>
    </w:p>
    <w:p>
      <w:pPr>
        <w:pStyle w:val="ListBullet"/>
        <w:spacing w:after="60"/>
      </w:pPr>
      <w:r>
        <w:rPr>
          <w:sz w:val="21"/>
        </w:rPr>
        <w:t>Repetir la suite de Postman después de cada corrección para confirmar que los criterios pasan a verde.</w:t>
      </w:r>
    </w:p>
    <w:p>
      <w:pPr>
        <w:pStyle w:val="Heading1"/>
      </w:pPr>
      <w:r>
        <w:t>10. Conclusiones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HU-001 se probó por sus dos canales. Por la interfaz web los cuatro criterios cumplen: el login autentica, rechaza credenciales inválidas y cuentas deshabilitadas con el mensaje correcto, y bloquea por intentos informando el tiempo restante. Por la API se detectaron dos defectos: la serialización del login expone los backing fields (Defecto 1) y el manejador de mensajes reemplaza los cuerpos de error 401 y 403 (Defecto 2).</w:t>
      </w:r>
    </w:p>
    <w:p>
      <w:pPr>
        <w:spacing w:after="120" w:before="0"/>
      </w:pPr>
      <w:r>
        <w:rPr>
          <w:b w:val="0"/>
          <w:i w:val="0"/>
          <w:color w:val="20252B"/>
          <w:sz w:val="21"/>
        </w:rPr>
        <w:t>Como la web usa la misma lógica de negocio (SEL_LOGIN) y funciona, se concluye que la lógica es correcta y que los defectos están acotados a la capa API. La historia no debería cerrarse hasta corregir ambos defectos en la API y volver a ejecutar la suite de Postman.</w:t>
      </w:r>
    </w:p>
    <w:p>
      <w:pPr>
        <w:spacing w:before="40" w:after="160"/>
        <w:pBdr>
          <w:bottom w:val="single" w:sz="6" w:space="1" w:color="C7CDD6"/>
        </w:pBdr>
      </w:pPr>
    </w:p>
    <w:p>
      <w:pPr>
        <w:spacing w:after="120" w:before="0"/>
        <w:jc w:val="center"/>
      </w:pPr>
      <w:r>
        <w:rPr>
          <w:b w:val="0"/>
          <w:i/>
          <w:color w:val="5A6473"/>
          <w:sz w:val="17"/>
        </w:rPr>
        <w:t>Documento generado el 03-09-2026 · Proyecto SIGMA · Sprint 1 · Evidencia complementaria: MD/SIGMA_PRUEBAS_S1.md y la colección Postman del repositorio.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550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