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4"/>
        </w:rPr>
        <w:t>INFORME DE PRUEBAS · SPRINT 2</w:t>
      </w:r>
    </w:p>
    <w:p>
      <w:pPr>
        <w:spacing w:after="40"/>
      </w:pPr>
      <w:r>
        <w:rPr>
          <w:b w:val="0"/>
          <w:i w:val="0"/>
          <w:sz w:val="26"/>
        </w:rPr>
        <w:t>SIGMA · Sistema Integrado de Gestión de Mantenimiento Industrial</w:t>
      </w:r>
    </w:p>
    <w:p>
      <w:pPr>
        <w:spacing w:after="280"/>
      </w:pPr>
      <w:r>
        <w:rPr>
          <w:b w:val="0"/>
          <w:i w:val="0"/>
          <w:color w:val="555555"/>
          <w:sz w:val="22"/>
        </w:rPr>
        <w:t>Ejecución de pruebas de aceptación sobre las historias desarrolladas por Bryan Chávez · Sprint 2 (del 16-09-2026 al 29-09-2026)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6520"/>
      </w:tblGrid>
      <w:tr>
        <w:tc>
          <w:tcPr>
            <w:tcW w:type="dxa" w:w="2835"/>
            <w:shd w:val="clear" w:color="auto" w:fill="F3F1FB"/>
          </w:tcPr>
          <w:p>
            <w:r/>
            <w:r>
              <w:rPr>
                <w:b/>
                <w:sz w:val="20"/>
              </w:rPr>
              <w:t>Proyecto</w:t>
            </w:r>
          </w:p>
        </w:tc>
        <w:tc>
          <w:tcPr>
            <w:tcW w:type="dxa" w:w="6520"/>
          </w:tcPr>
          <w:p>
            <w:r/>
            <w:r>
              <w:rPr>
                <w:b w:val="0"/>
                <w:sz w:val="20"/>
              </w:rPr>
              <w:t>SIGMA · Capstone</w:t>
            </w:r>
          </w:p>
        </w:tc>
      </w:tr>
      <w:tr>
        <w:tc>
          <w:tcPr>
            <w:tcW w:type="dxa" w:w="2835"/>
            <w:shd w:val="clear" w:color="auto" w:fill="F3F1FB"/>
          </w:tcPr>
          <w:p>
            <w:r/>
            <w:r>
              <w:rPr>
                <w:b/>
                <w:sz w:val="20"/>
              </w:rPr>
              <w:t>Sprint</w:t>
            </w:r>
          </w:p>
        </w:tc>
        <w:tc>
          <w:tcPr>
            <w:tcW w:type="dxa" w:w="6520"/>
          </w:tcPr>
          <w:p>
            <w:r/>
            <w:r>
              <w:rPr>
                <w:b w:val="0"/>
                <w:sz w:val="20"/>
              </w:rPr>
              <w:t>Sprint 2 · del 16-09-2026 al 29-09-2026</w:t>
            </w:r>
          </w:p>
        </w:tc>
      </w:tr>
      <w:tr>
        <w:tc>
          <w:tcPr>
            <w:tcW w:type="dxa" w:w="2835"/>
            <w:shd w:val="clear" w:color="auto" w:fill="F3F1FB"/>
          </w:tcPr>
          <w:p>
            <w:r/>
            <w:r>
              <w:rPr>
                <w:b/>
                <w:sz w:val="20"/>
              </w:rPr>
              <w:t>Responsable de las pruebas</w:t>
            </w:r>
          </w:p>
        </w:tc>
        <w:tc>
          <w:tcPr>
            <w:tcW w:type="dxa" w:w="6520"/>
          </w:tcPr>
          <w:p>
            <w:r/>
            <w:r>
              <w:rPr>
                <w:b w:val="0"/>
                <w:sz w:val="20"/>
              </w:rPr>
              <w:t>Bryan Chávez</w:t>
            </w:r>
          </w:p>
        </w:tc>
      </w:tr>
      <w:tr>
        <w:tc>
          <w:tcPr>
            <w:tcW w:type="dxa" w:w="2835"/>
            <w:shd w:val="clear" w:color="auto" w:fill="F3F1FB"/>
          </w:tcPr>
          <w:p>
            <w:r/>
            <w:r>
              <w:rPr>
                <w:b/>
                <w:sz w:val="20"/>
              </w:rPr>
              <w:t>Fecha de ejecución</w:t>
            </w:r>
          </w:p>
        </w:tc>
        <w:tc>
          <w:tcPr>
            <w:tcW w:type="dxa" w:w="6520"/>
          </w:tcPr>
          <w:p>
            <w:r/>
            <w:r>
              <w:rPr>
                <w:b w:val="0"/>
                <w:sz w:val="20"/>
              </w:rPr>
              <w:t>14-09-2026 al 15-09-2026</w:t>
            </w:r>
          </w:p>
        </w:tc>
      </w:tr>
      <w:tr>
        <w:tc>
          <w:tcPr>
            <w:tcW w:type="dxa" w:w="2835"/>
            <w:shd w:val="clear" w:color="auto" w:fill="F3F1FB"/>
          </w:tcPr>
          <w:p>
            <w:r/>
            <w:r>
              <w:rPr>
                <w:b/>
                <w:sz w:val="20"/>
              </w:rPr>
              <w:t>Historias cubiertas</w:t>
            </w:r>
          </w:p>
        </w:tc>
        <w:tc>
          <w:tcPr>
            <w:tcW w:type="dxa" w:w="6520"/>
          </w:tcPr>
          <w:p>
            <w:r/>
            <w:r>
              <w:rPr>
                <w:b w:val="0"/>
                <w:sz w:val="20"/>
              </w:rPr>
              <w:t>HU-041, HU-190, HU-191, HU-193, HU-194</w:t>
            </w:r>
          </w:p>
        </w:tc>
      </w:tr>
      <w:tr>
        <w:tc>
          <w:tcPr>
            <w:tcW w:type="dxa" w:w="2835"/>
            <w:shd w:val="clear" w:color="auto" w:fill="F3F1FB"/>
          </w:tcPr>
          <w:p>
            <w:r/>
            <w:r>
              <w:rPr>
                <w:b/>
                <w:sz w:val="20"/>
              </w:rPr>
              <w:t>Casos ejecutados</w:t>
            </w:r>
          </w:p>
        </w:tc>
        <w:tc>
          <w:tcPr>
            <w:tcW w:type="dxa" w:w="6520"/>
          </w:tcPr>
          <w:p>
            <w:r/>
            <w:r>
              <w:rPr>
                <w:b w:val="0"/>
                <w:sz w:val="20"/>
              </w:rPr>
              <w:t>18 · 17 cumplen · 1 no cumplen o quedaron fuera de esta corrida · 4 defecto(s) encontrado(s) y corregido(s)</w:t>
            </w:r>
          </w:p>
        </w:tc>
      </w:tr>
    </w:tbl>
    <w:p>
      <w:pPr>
        <w:pStyle w:val="Heading1"/>
      </w:pPr>
      <w:r>
        <w:t>1. Introducción y alcance</w:t>
      </w:r>
    </w:p>
    <w:p>
      <w:pPr>
        <w:spacing w:after="120"/>
      </w:pPr>
      <w:r>
        <w:rPr>
          <w:b w:val="0"/>
          <w:i w:val="0"/>
          <w:sz w:val="22"/>
        </w:rPr>
        <w:t>Este informe documenta la ejecución de las pruebas de aceptación de las historias de usuario del Sprint 2 que fueron desarrolladas por Bryan Chávez. Cada criterio de aceptación del Sprint Backlog se ejercitó como un caso de prueba independiente, con los pasos realizados, el resultado esperado según el criterio, el resultado realmente obtenido y la evidencia (captura de pantalla) tomada en el momento de la ejecución.</w:t>
      </w:r>
    </w:p>
    <w:p>
      <w:pPr>
        <w:spacing w:after="120"/>
      </w:pPr>
      <w:r>
        <w:rPr>
          <w:b w:val="0"/>
          <w:i w:val="0"/>
          <w:sz w:val="22"/>
        </w:rPr>
        <w:t>Las pruebas web se ejecutaron sobre el sitio Intranet de SIGMA con un navegador Chrome automatizado (Selenium); las pruebas de API se ejecutaron desde la interfaz Swagger publicada por la propia API, y en cada una se capturó la petición enviada y la respuesta real del servidor. Cuando durante la ejecución se encontró un defecto, se corrigió en el código y la corrección se documenta también como un caso de prueba, con la evidencia del error y de la reprueba.</w:t>
      </w:r>
    </w:p>
    <w:p>
      <w:pPr>
        <w:pStyle w:val="Heading1"/>
      </w:pPr>
      <w:r>
        <w:t>2. Entorno y usuarios de prueba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shd w:val="clear" w:color="auto" w:fill="E8E5F7"/>
          </w:tcPr>
          <w:p>
            <w:r/>
            <w:r>
              <w:rPr>
                <w:b/>
                <w:sz w:val="20"/>
              </w:rPr>
              <w:t>Componente</w:t>
            </w:r>
          </w:p>
        </w:tc>
        <w:tc>
          <w:tcPr>
            <w:tcW w:type="dxa" w:w="4873"/>
            <w:shd w:val="clear" w:color="auto" w:fill="E8E5F7"/>
          </w:tcPr>
          <w:p>
            <w:r/>
            <w:r>
              <w:rPr>
                <w:b/>
                <w:sz w:val="20"/>
              </w:rPr>
              <w:t>Detalle</w:t>
            </w:r>
          </w:p>
        </w:tc>
      </w:tr>
      <w:tr>
        <w:tc>
          <w:tcPr>
            <w:tcW w:type="dxa" w:w="4873"/>
          </w:tcPr>
          <w:p>
            <w:r/>
            <w:r>
              <w:rPr>
                <w:b/>
                <w:sz w:val="20"/>
              </w:rPr>
              <w:t>Sitio web</w:t>
            </w:r>
          </w:p>
        </w:tc>
        <w:tc>
          <w:tcPr>
            <w:tcW w:type="dxa" w:w="4873"/>
          </w:tcPr>
          <w:p>
            <w:r/>
            <w:r>
              <w:rPr>
                <w:sz w:val="20"/>
              </w:rPr>
              <w:t>Intranet SIGMA · ASP.NET WebForms 4.8 · http://localhost/SIGMA/Intranet</w:t>
            </w:r>
          </w:p>
        </w:tc>
      </w:tr>
      <w:tr>
        <w:tc>
          <w:tcPr>
            <w:tcW w:type="dxa" w:w="4873"/>
          </w:tcPr>
          <w:p>
            <w:r/>
            <w:r>
              <w:rPr>
                <w:b/>
                <w:sz w:val="20"/>
              </w:rPr>
              <w:t>API</w:t>
            </w:r>
          </w:p>
        </w:tc>
        <w:tc>
          <w:tcPr>
            <w:tcW w:type="dxa" w:w="4873"/>
          </w:tcPr>
          <w:p>
            <w:r/>
            <w:r>
              <w:rPr>
                <w:sz w:val="20"/>
              </w:rPr>
              <w:t>SIGMA Web API 2 · http://localhost/SIGMA/Servicio/API · documentación Swagger en /swagger/ui/index</w:t>
            </w:r>
          </w:p>
        </w:tc>
      </w:tr>
      <w:tr>
        <w:tc>
          <w:tcPr>
            <w:tcW w:type="dxa" w:w="4873"/>
          </w:tcPr>
          <w:p>
            <w:r/>
            <w:r>
              <w:rPr>
                <w:b/>
                <w:sz w:val="20"/>
              </w:rPr>
              <w:t>Base de datos</w:t>
            </w:r>
          </w:p>
        </w:tc>
        <w:tc>
          <w:tcPr>
            <w:tcW w:type="dxa" w:w="4873"/>
          </w:tcPr>
          <w:p>
            <w:r/>
            <w:r>
              <w:rPr>
                <w:sz w:val="20"/>
              </w:rPr>
              <w:t>SQL Server (hosting) · db_acd593_sigma</w:t>
            </w:r>
          </w:p>
        </w:tc>
      </w:tr>
      <w:tr>
        <w:tc>
          <w:tcPr>
            <w:tcW w:type="dxa" w:w="4873"/>
          </w:tcPr>
          <w:p>
            <w:r/>
            <w:r>
              <w:rPr>
                <w:b/>
                <w:sz w:val="20"/>
              </w:rPr>
              <w:t>Navegador</w:t>
            </w:r>
          </w:p>
        </w:tc>
        <w:tc>
          <w:tcPr>
            <w:tcW w:type="dxa" w:w="4873"/>
          </w:tcPr>
          <w:p>
            <w:r/>
            <w:r>
              <w:rPr>
                <w:sz w:val="20"/>
              </w:rPr>
              <w:t>Google Chrome 152 (headless, 1400×900) controlado con Selenium 4</w:t>
            </w:r>
          </w:p>
        </w:tc>
      </w:tr>
      <w:tr>
        <w:tc>
          <w:tcPr>
            <w:tcW w:type="dxa" w:w="4873"/>
          </w:tcPr>
          <w:p>
            <w:r/>
            <w:r>
              <w:rPr>
                <w:b/>
                <w:sz w:val="20"/>
              </w:rPr>
              <w:t>Cliente de prueba</w:t>
            </w:r>
          </w:p>
        </w:tc>
        <w:tc>
          <w:tcPr>
            <w:tcW w:type="dxa" w:w="4873"/>
          </w:tcPr>
          <w:p>
            <w:r/>
            <w:r>
              <w:rPr>
                <w:sz w:val="20"/>
              </w:rPr>
              <w:t>Hamburgo SA · plantas Renca y Maipú · datos de semilla del proyecto</w:t>
            </w:r>
          </w:p>
        </w:tc>
      </w:tr>
    </w:tbl>
    <w:p>
      <w:pPr>
        <w:spacing w:after="80"/>
      </w:pPr>
      <w:r>
        <w:rPr>
          <w:b w:val="0"/>
          <w:i w:val="0"/>
          <w:sz w:val="22"/>
        </w:rPr>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E8E5F7"/>
          </w:tcPr>
          <w:p>
            <w:r/>
            <w:r>
              <w:rPr>
                <w:b/>
                <w:sz w:val="20"/>
              </w:rPr>
              <w:t>Usuario</w:t>
            </w:r>
          </w:p>
        </w:tc>
        <w:tc>
          <w:tcPr>
            <w:tcW w:type="dxa" w:w="3249"/>
            <w:shd w:val="clear" w:color="auto" w:fill="E8E5F7"/>
          </w:tcPr>
          <w:p>
            <w:r/>
            <w:r>
              <w:rPr>
                <w:b/>
                <w:sz w:val="20"/>
              </w:rPr>
              <w:t>Perfil</w:t>
            </w:r>
          </w:p>
        </w:tc>
        <w:tc>
          <w:tcPr>
            <w:tcW w:type="dxa" w:w="3249"/>
            <w:shd w:val="clear" w:color="auto" w:fill="E8E5F7"/>
          </w:tcPr>
          <w:p>
            <w:r/>
            <w:r>
              <w:rPr>
                <w:b/>
                <w:sz w:val="20"/>
              </w:rPr>
              <w:t>Correo de acceso</w:t>
            </w:r>
          </w:p>
        </w:tc>
      </w:tr>
      <w:tr>
        <w:tc>
          <w:tcPr>
            <w:tcW w:type="dxa" w:w="3249"/>
          </w:tcPr>
          <w:p>
            <w:r/>
            <w:r>
              <w:rPr>
                <w:sz w:val="20"/>
              </w:rPr>
              <w:t>Catalina Pescio</w:t>
            </w:r>
          </w:p>
        </w:tc>
        <w:tc>
          <w:tcPr>
            <w:tcW w:type="dxa" w:w="3249"/>
          </w:tcPr>
          <w:p>
            <w:r/>
            <w:r>
              <w:rPr>
                <w:sz w:val="20"/>
              </w:rPr>
              <w:t>Root (SIGMA)</w:t>
            </w:r>
          </w:p>
        </w:tc>
        <w:tc>
          <w:tcPr>
            <w:tcW w:type="dxa" w:w="3249"/>
          </w:tcPr>
          <w:p>
            <w:r/>
            <w:r>
              <w:rPr>
                <w:sz w:val="20"/>
              </w:rPr>
              <w:t>catalina@codigocreativo.cl</w:t>
            </w:r>
          </w:p>
        </w:tc>
      </w:tr>
      <w:tr>
        <w:tc>
          <w:tcPr>
            <w:tcW w:type="dxa" w:w="3249"/>
          </w:tcPr>
          <w:p>
            <w:r/>
            <w:r>
              <w:rPr>
                <w:sz w:val="20"/>
              </w:rPr>
              <w:t>Cristián Muñoz</w:t>
            </w:r>
          </w:p>
        </w:tc>
        <w:tc>
          <w:tcPr>
            <w:tcW w:type="dxa" w:w="3249"/>
          </w:tcPr>
          <w:p>
            <w:r/>
            <w:r>
              <w:rPr>
                <w:sz w:val="20"/>
              </w:rPr>
              <w:t>Técnico de Mantenimiento (solo app)</w:t>
            </w:r>
          </w:p>
        </w:tc>
        <w:tc>
          <w:tcPr>
            <w:tcW w:type="dxa" w:w="3249"/>
          </w:tcPr>
          <w:p>
            <w:r/>
            <w:r>
              <w:rPr>
                <w:sz w:val="20"/>
              </w:rPr>
              <w:t>cristian.munoz@hamburgo.cl</w:t>
            </w:r>
          </w:p>
        </w:tc>
      </w:tr>
      <w:tr>
        <w:tc>
          <w:tcPr>
            <w:tcW w:type="dxa" w:w="3249"/>
          </w:tcPr>
          <w:p>
            <w:r/>
            <w:r>
              <w:rPr>
                <w:sz w:val="20"/>
              </w:rPr>
              <w:t>Marcela Aravena</w:t>
            </w:r>
          </w:p>
        </w:tc>
        <w:tc>
          <w:tcPr>
            <w:tcW w:type="dxa" w:w="3249"/>
          </w:tcPr>
          <w:p>
            <w:r/>
            <w:r>
              <w:rPr>
                <w:sz w:val="20"/>
              </w:rPr>
              <w:t>Administrador del Cliente (solo web)</w:t>
            </w:r>
          </w:p>
        </w:tc>
        <w:tc>
          <w:tcPr>
            <w:tcW w:type="dxa" w:w="3249"/>
          </w:tcPr>
          <w:p>
            <w:r/>
            <w:r>
              <w:rPr>
                <w:sz w:val="20"/>
              </w:rPr>
              <w:t>marcela.aravena@hamburgo.cl</w:t>
            </w:r>
          </w:p>
        </w:tc>
      </w:tr>
      <w:tr>
        <w:tc>
          <w:tcPr>
            <w:tcW w:type="dxa" w:w="3249"/>
          </w:tcPr>
          <w:p>
            <w:r/>
            <w:r>
              <w:rPr>
                <w:sz w:val="20"/>
              </w:rPr>
              <w:t>Rodrigo Quezada</w:t>
            </w:r>
          </w:p>
        </w:tc>
        <w:tc>
          <w:tcPr>
            <w:tcW w:type="dxa" w:w="3249"/>
          </w:tcPr>
          <w:p>
            <w:r/>
            <w:r>
              <w:rPr>
                <w:sz w:val="20"/>
              </w:rPr>
              <w:t>Jefe de Mantenimiento</w:t>
            </w:r>
          </w:p>
        </w:tc>
        <w:tc>
          <w:tcPr>
            <w:tcW w:type="dxa" w:w="3249"/>
          </w:tcPr>
          <w:p>
            <w:r/>
            <w:r>
              <w:rPr>
                <w:sz w:val="20"/>
              </w:rPr>
              <w:t>rodrigo.quezada@hamburgo.cl</w:t>
            </w:r>
          </w:p>
        </w:tc>
      </w:tr>
    </w:tbl>
    <w:p>
      <w:pPr>
        <w:spacing w:after="120"/>
      </w:pPr>
      <w:r>
        <w:rPr>
          <w:b w:val="0"/>
          <w:i/>
          <w:color w:val="555555"/>
          <w:sz w:val="18"/>
        </w:rPr>
        <w:t>Las cuentas son de desarrollo, sin valor productivo. Las contraseñas no se incluyen en este documento.</w:t>
      </w:r>
    </w:p>
    <w:p>
      <w:pPr>
        <w:pStyle w:val="Heading1"/>
      </w:pPr>
      <w:r>
        <w:t>3. Resumen de resultados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247"/>
            <w:shd w:val="clear" w:color="auto" w:fill="E8E5F7"/>
          </w:tcPr>
          <w:p>
            <w:r/>
            <w:r>
              <w:rPr>
                <w:b/>
                <w:sz w:val="19"/>
              </w:rPr>
              <w:t>Historia</w:t>
            </w:r>
          </w:p>
        </w:tc>
        <w:tc>
          <w:tcPr>
            <w:tcW w:type="dxa" w:w="680"/>
            <w:shd w:val="clear" w:color="auto" w:fill="E8E5F7"/>
          </w:tcPr>
          <w:p>
            <w:r/>
            <w:r>
              <w:rPr>
                <w:b/>
                <w:sz w:val="19"/>
              </w:rPr>
              <w:t>CA</w:t>
            </w:r>
          </w:p>
        </w:tc>
        <w:tc>
          <w:tcPr>
            <w:tcW w:type="dxa" w:w="4876"/>
            <w:shd w:val="clear" w:color="auto" w:fill="E8E5F7"/>
          </w:tcPr>
          <w:p>
            <w:r/>
            <w:r>
              <w:rPr>
                <w:b/>
                <w:sz w:val="19"/>
              </w:rPr>
              <w:t>Caso de prueba</w:t>
            </w:r>
          </w:p>
        </w:tc>
        <w:tc>
          <w:tcPr>
            <w:tcW w:type="dxa" w:w="1020"/>
            <w:shd w:val="clear" w:color="auto" w:fill="E8E5F7"/>
          </w:tcPr>
          <w:p>
            <w:r/>
            <w:r>
              <w:rPr>
                <w:b/>
                <w:sz w:val="19"/>
              </w:rPr>
              <w:t>Tipo</w:t>
            </w:r>
          </w:p>
        </w:tc>
        <w:tc>
          <w:tcPr>
            <w:tcW w:type="dxa" w:w="1531"/>
            <w:shd w:val="clear" w:color="auto" w:fill="E8E5F7"/>
          </w:tcPr>
          <w:p>
            <w:r/>
            <w:r>
              <w:rPr>
                <w:b/>
                <w:sz w:val="19"/>
              </w:rPr>
              <w:t>Resultado</w:t>
            </w:r>
          </w:p>
        </w:tc>
      </w:tr>
      <w:tr>
        <w:tc>
          <w:tcPr>
            <w:tcW w:type="dxa" w:w="1247"/>
          </w:tcPr>
          <w:p>
            <w:r/>
            <w:r>
              <w:rPr>
                <w:sz w:val="19"/>
              </w:rPr>
              <w:t>HU-041</w:t>
            </w:r>
          </w:p>
        </w:tc>
        <w:tc>
          <w:tcPr>
            <w:tcW w:type="dxa" w:w="680"/>
          </w:tcPr>
          <w:p>
            <w:r/>
            <w:r>
              <w:rPr>
                <w:sz w:val="19"/>
              </w:rPr>
              <w:t>#1</w:t>
            </w:r>
          </w:p>
        </w:tc>
        <w:tc>
          <w:tcPr>
            <w:tcW w:type="dxa" w:w="4876"/>
          </w:tcPr>
          <w:p>
            <w:r/>
            <w:r>
              <w:rPr>
                <w:sz w:val="19"/>
              </w:rPr>
              <w:t>Alta de variable de condición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HU-041</w:t>
            </w:r>
          </w:p>
        </w:tc>
        <w:tc>
          <w:tcPr>
            <w:tcW w:type="dxa" w:w="680"/>
          </w:tcPr>
          <w:p>
            <w:r/>
            <w:r>
              <w:rPr>
                <w:sz w:val="19"/>
              </w:rPr>
              <w:t>#2</w:t>
            </w:r>
          </w:p>
        </w:tc>
        <w:tc>
          <w:tcPr>
            <w:tcW w:type="dxa" w:w="4876"/>
          </w:tcPr>
          <w:p>
            <w:r/>
            <w:r>
              <w:rPr>
                <w:sz w:val="19"/>
              </w:rPr>
              <w:t>Mediciones validadas contra los umbrales</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HU-041</w:t>
            </w:r>
          </w:p>
        </w:tc>
        <w:tc>
          <w:tcPr>
            <w:tcW w:type="dxa" w:w="680"/>
          </w:tcPr>
          <w:p>
            <w:r/>
            <w:r>
              <w:rPr>
                <w:sz w:val="19"/>
              </w:rPr>
              <w:t>#2</w:t>
            </w:r>
          </w:p>
        </w:tc>
        <w:tc>
          <w:tcPr>
            <w:tcW w:type="dxa" w:w="4876"/>
          </w:tcPr>
          <w:p>
            <w:r/>
            <w:r>
              <w:rPr>
                <w:sz w:val="19"/>
              </w:rPr>
              <w:t>Defecto corregido: la API descartaba el veredicto de los umbrales</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HU-190</w:t>
            </w:r>
          </w:p>
        </w:tc>
        <w:tc>
          <w:tcPr>
            <w:tcW w:type="dxa" w:w="680"/>
          </w:tcPr>
          <w:p>
            <w:r/>
            <w:r>
              <w:rPr>
                <w:sz w:val="19"/>
              </w:rPr>
              <w:t>#1</w:t>
            </w:r>
          </w:p>
        </w:tc>
        <w:tc>
          <w:tcPr>
            <w:tcW w:type="dxa" w:w="4876"/>
          </w:tcPr>
          <w:p>
            <w:r/>
            <w:r>
              <w:rPr>
                <w:sz w:val="19"/>
              </w:rPr>
              <w:t>Alta de plan comercial con precio y periodicidad</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HU-190</w:t>
            </w:r>
          </w:p>
        </w:tc>
        <w:tc>
          <w:tcPr>
            <w:tcW w:type="dxa" w:w="680"/>
          </w:tcPr>
          <w:p>
            <w:r/>
            <w:r>
              <w:rPr>
                <w:sz w:val="19"/>
              </w:rPr>
              <w:t>#2</w:t>
            </w:r>
          </w:p>
        </w:tc>
        <w:tc>
          <w:tcPr>
            <w:tcW w:type="dxa" w:w="4876"/>
          </w:tcPr>
          <w:p>
            <w:r/>
            <w:r>
              <w:rPr>
                <w:sz w:val="19"/>
              </w:rPr>
              <w:t>Funcionalidades del plan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HU-190</w:t>
            </w:r>
          </w:p>
        </w:tc>
        <w:tc>
          <w:tcPr>
            <w:tcW w:type="dxa" w:w="680"/>
          </w:tcPr>
          <w:p>
            <w:r/>
            <w:r>
              <w:rPr>
                <w:sz w:val="19"/>
              </w:rPr>
              <w:t>#3</w:t>
            </w:r>
          </w:p>
        </w:tc>
        <w:tc>
          <w:tcPr>
            <w:tcW w:type="dxa" w:w="4876"/>
          </w:tcPr>
          <w:p>
            <w:r/>
            <w:r>
              <w:rPr>
                <w:sz w:val="19"/>
              </w:rPr>
              <w:t>Cambio de precio no toca la suscripción vigente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HU-190</w:t>
            </w:r>
          </w:p>
        </w:tc>
        <w:tc>
          <w:tcPr>
            <w:tcW w:type="dxa" w:w="680"/>
          </w:tcPr>
          <w:p>
            <w:r/>
            <w:r>
              <w:rPr>
                <w:sz w:val="19"/>
              </w:rPr>
              <w:t>#1</w:t>
            </w:r>
          </w:p>
        </w:tc>
        <w:tc>
          <w:tcPr>
            <w:tcW w:type="dxa" w:w="4876"/>
          </w:tcPr>
          <w:p>
            <w:r/>
            <w:r>
              <w:rPr>
                <w:sz w:val="19"/>
              </w:rPr>
              <w:t>Defecto corregido: un plan sin precio no aparecía en el listado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HU-191</w:t>
            </w:r>
          </w:p>
        </w:tc>
        <w:tc>
          <w:tcPr>
            <w:tcW w:type="dxa" w:w="680"/>
          </w:tcPr>
          <w:p>
            <w:r/>
            <w:r>
              <w:rPr>
                <w:sz w:val="19"/>
              </w:rPr>
              <w:t>#1</w:t>
            </w:r>
          </w:p>
        </w:tc>
        <w:tc>
          <w:tcPr>
            <w:tcW w:type="dxa" w:w="4876"/>
          </w:tcPr>
          <w:p>
            <w:r/>
            <w:r>
              <w:rPr>
                <w:sz w:val="19"/>
              </w:rPr>
              <w:t>Contratación de una suscripción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HU-191</w:t>
            </w:r>
          </w:p>
        </w:tc>
        <w:tc>
          <w:tcPr>
            <w:tcW w:type="dxa" w:w="680"/>
          </w:tcPr>
          <w:p>
            <w:r/>
            <w:r>
              <w:rPr>
                <w:sz w:val="19"/>
              </w:rPr>
              <w:t>#2</w:t>
            </w:r>
          </w:p>
        </w:tc>
        <w:tc>
          <w:tcPr>
            <w:tcW w:type="dxa" w:w="4876"/>
          </w:tcPr>
          <w:p>
            <w:r/>
            <w:r>
              <w:rPr>
                <w:sz w:val="19"/>
              </w:rPr>
              <w:t>Renovación: el período nuevo empieza al terminar el anterior</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HU-193</w:t>
            </w:r>
          </w:p>
        </w:tc>
        <w:tc>
          <w:tcPr>
            <w:tcW w:type="dxa" w:w="680"/>
          </w:tcPr>
          <w:p>
            <w:r/>
            <w:r>
              <w:rPr>
                <w:sz w:val="19"/>
              </w:rPr>
              <w:t>#1</w:t>
            </w:r>
          </w:p>
        </w:tc>
        <w:tc>
          <w:tcPr>
            <w:tcW w:type="dxa" w:w="4876"/>
          </w:tcPr>
          <w:p>
            <w:r/>
            <w:r>
              <w:rPr>
                <w:sz w:val="19"/>
              </w:rPr>
              <w:t>Aviso anticipado de vencimiento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HU-193</w:t>
            </w:r>
          </w:p>
        </w:tc>
        <w:tc>
          <w:tcPr>
            <w:tcW w:type="dxa" w:w="680"/>
          </w:tcPr>
          <w:p>
            <w:r/>
            <w:r>
              <w:rPr>
                <w:sz w:val="19"/>
              </w:rPr>
              <w:t>#2</w:t>
            </w:r>
          </w:p>
        </w:tc>
        <w:tc>
          <w:tcPr>
            <w:tcW w:type="dxa" w:w="4876"/>
          </w:tcPr>
          <w:p>
            <w:r/>
            <w:r>
              <w:rPr>
                <w:sz w:val="19"/>
              </w:rPr>
              <w:t>Período de gracia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HU-193</w:t>
            </w:r>
          </w:p>
        </w:tc>
        <w:tc>
          <w:tcPr>
            <w:tcW w:type="dxa" w:w="680"/>
          </w:tcPr>
          <w:p>
            <w:r/>
            <w:r>
              <w:rPr>
                <w:sz w:val="19"/>
              </w:rPr>
              <w:t>#3</w:t>
            </w:r>
          </w:p>
        </w:tc>
        <w:tc>
          <w:tcPr>
            <w:tcW w:type="dxa" w:w="4876"/>
          </w:tcPr>
          <w:p>
            <w:r/>
            <w:r>
              <w:rPr>
                <w:sz w:val="19"/>
              </w:rPr>
              <w:t>Bloqueo con suscripción y gracia vencidas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HU-193</w:t>
            </w:r>
          </w:p>
        </w:tc>
        <w:tc>
          <w:tcPr>
            <w:tcW w:type="dxa" w:w="680"/>
          </w:tcPr>
          <w:p>
            <w:r/>
            <w:r>
              <w:rPr>
                <w:sz w:val="19"/>
              </w:rPr>
              <w:t>#4</w:t>
            </w:r>
          </w:p>
        </w:tc>
        <w:tc>
          <w:tcPr>
            <w:tcW w:type="dxa" w:w="4876"/>
          </w:tcPr>
          <w:p>
            <w:r/>
            <w:r>
              <w:rPr>
                <w:sz w:val="19"/>
              </w:rPr>
              <w:t>Trabajo en curso en terreno (app)</w:t>
            </w:r>
          </w:p>
        </w:tc>
        <w:tc>
          <w:tcPr>
            <w:tcW w:type="dxa" w:w="1020"/>
          </w:tcPr>
          <w:p>
            <w:r/>
            <w:r>
              <w:rPr>
                <w:sz w:val="19"/>
              </w:rPr>
              <w:t>App/API</w:t>
            </w:r>
          </w:p>
        </w:tc>
        <w:tc>
          <w:tcPr>
            <w:tcW w:type="dxa" w:w="1531"/>
          </w:tcPr>
          <w:p>
            <w:r/>
            <w:r>
              <w:rPr>
                <w:b/>
                <w:color w:val="B02A2A"/>
                <w:sz w:val="19"/>
              </w:rPr>
              <w:t>No cumple / pendiente</w:t>
            </w:r>
          </w:p>
        </w:tc>
      </w:tr>
      <w:tr>
        <w:tc>
          <w:tcPr>
            <w:tcW w:type="dxa" w:w="1247"/>
          </w:tcPr>
          <w:p>
            <w:r/>
            <w:r>
              <w:rPr>
                <w:sz w:val="19"/>
              </w:rPr>
              <w:t>HU-193</w:t>
            </w:r>
          </w:p>
        </w:tc>
        <w:tc>
          <w:tcPr>
            <w:tcW w:type="dxa" w:w="680"/>
          </w:tcPr>
          <w:p>
            <w:r/>
            <w:r>
              <w:rPr>
                <w:sz w:val="19"/>
              </w:rPr>
              <w:t>#3</w:t>
            </w:r>
          </w:p>
        </w:tc>
        <w:tc>
          <w:tcPr>
            <w:tcW w:type="dxa" w:w="4876"/>
          </w:tcPr>
          <w:p>
            <w:r/>
            <w:r>
              <w:rPr>
                <w:sz w:val="19"/>
              </w:rPr>
              <w:t>Defecto corregido: la compuerta de suscripción rebotaba a la cuenta de plataforma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HU-194</w:t>
            </w:r>
          </w:p>
        </w:tc>
        <w:tc>
          <w:tcPr>
            <w:tcW w:type="dxa" w:w="680"/>
          </w:tcPr>
          <w:p>
            <w:r/>
            <w:r>
              <w:rPr>
                <w:sz w:val="19"/>
              </w:rPr>
              <w:t>#1</w:t>
            </w:r>
          </w:p>
        </w:tc>
        <w:tc>
          <w:tcPr>
            <w:tcW w:type="dxa" w:w="4876"/>
          </w:tcPr>
          <w:p>
            <w:r/>
            <w:r>
              <w:rPr>
                <w:sz w:val="19"/>
              </w:rPr>
              <w:t>Registro del pago con comprobante obligatorio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HU-194</w:t>
            </w:r>
          </w:p>
        </w:tc>
        <w:tc>
          <w:tcPr>
            <w:tcW w:type="dxa" w:w="680"/>
          </w:tcPr>
          <w:p>
            <w:r/>
            <w:r>
              <w:rPr>
                <w:sz w:val="19"/>
              </w:rPr>
              <w:t>#2</w:t>
            </w:r>
          </w:p>
        </w:tc>
        <w:tc>
          <w:tcPr>
            <w:tcW w:type="dxa" w:w="4876"/>
          </w:tcPr>
          <w:p>
            <w:r/>
            <w:r>
              <w:rPr>
                <w:sz w:val="19"/>
              </w:rPr>
              <w:t>Validación del pago reactiva la suscripción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HU-194</w:t>
            </w:r>
          </w:p>
        </w:tc>
        <w:tc>
          <w:tcPr>
            <w:tcW w:type="dxa" w:w="680"/>
          </w:tcPr>
          <w:p>
            <w:r/>
            <w:r>
              <w:rPr>
                <w:sz w:val="19"/>
              </w:rPr>
              <w:t>#3</w:t>
            </w:r>
          </w:p>
        </w:tc>
        <w:tc>
          <w:tcPr>
            <w:tcW w:type="dxa" w:w="4876"/>
          </w:tcPr>
          <w:p>
            <w:r/>
            <w:r>
              <w:rPr>
                <w:sz w:val="19"/>
              </w:rPr>
              <w:t>Pago rechazado con motivo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HU-194</w:t>
            </w:r>
          </w:p>
        </w:tc>
        <w:tc>
          <w:tcPr>
            <w:tcW w:type="dxa" w:w="680"/>
          </w:tcPr>
          <w:p>
            <w:r/>
            <w:r>
              <w:rPr>
                <w:sz w:val="19"/>
              </w:rPr>
              <w:t>#1</w:t>
            </w:r>
          </w:p>
        </w:tc>
        <w:tc>
          <w:tcPr>
            <w:tcW w:type="dxa" w:w="4876"/>
          </w:tcPr>
          <w:p>
            <w:r/>
            <w:r>
              <w:rPr>
                <w:sz w:val="19"/>
              </w:rPr>
              <w:t>Defecto corregido: «Declarar pago» no abría nada en Mi suscripción</w:t>
            </w:r>
          </w:p>
        </w:tc>
        <w:tc>
          <w:tcPr>
            <w:tcW w:type="dxa" w:w="1020"/>
          </w:tcPr>
          <w:p>
            <w:r/>
            <w:r>
              <w:rPr>
                <w:sz w:val="19"/>
              </w:rPr>
              <w:t>Web</w:t>
            </w:r>
          </w:p>
        </w:tc>
        <w:tc>
          <w:tcPr>
            <w:tcW w:type="dxa" w:w="1531"/>
          </w:tcPr>
          <w:p>
            <w:r/>
            <w:r>
              <w:rPr>
                <w:b/>
                <w:color w:val="1B7F3B"/>
                <w:sz w:val="19"/>
              </w:rPr>
              <w:t>Cumple</w:t>
            </w:r>
          </w:p>
        </w:tc>
      </w:tr>
    </w:tbl>
    <w:p>
      <w:pPr>
        <w:spacing w:after="40"/>
      </w:pPr>
      <w:r>
        <w:rPr>
          <w:b w:val="0"/>
          <w:i w:val="0"/>
          <w:sz w:val="22"/>
        </w:rPr>
      </w:r>
    </w:p>
    <w:p>
      <w:pPr>
        <w:spacing w:after="120"/>
      </w:pPr>
      <w:r>
        <w:rPr>
          <w:b w:val="0"/>
          <w:i w:val="0"/>
          <w:sz w:val="22"/>
        </w:rPr>
        <w:t>De los 18 casos ejecutados, 17 cumplen el criterio de aceptación. Los casos marcados como «no cumple / pendiente» corresponden a criterios cuya funcionalidad no está construida en esta versión o que no pudo ejercitarse en el entorno local; se detallan en cada caso.</w:t>
      </w:r>
    </w:p>
    <w:p>
      <w:pPr>
        <w:pStyle w:val="Heading1"/>
      </w:pPr>
      <w:r>
        <w:t>4. Casos de prueba y evidencia</w:t>
      </w:r>
    </w:p>
    <w:p>
      <w:pPr>
        <w:spacing w:after="120"/>
      </w:pPr>
      <w:r>
        <w:rPr>
          <w:b w:val="0"/>
          <w:i w:val="0"/>
          <w:sz w:val="22"/>
        </w:rPr>
        <w:t>Para cada historia se presentan sus casos, en el orden de los criterios de aceptación del Sprint Backlog. Cada caso indica el usuario con el que se ejecutó, los pasos, lo esperado, lo obtenido y las capturas tomadas durante la ejecución.</w:t>
      </w:r>
    </w:p>
    <w:p>
      <w:pPr>
        <w:pStyle w:val="Heading2"/>
      </w:pPr>
      <w:r>
        <w:t>HU-041 · Administrar variables de condición</w:t>
      </w:r>
    </w:p>
    <w:p>
      <w:pPr>
        <w:pStyle w:val="Heading3"/>
      </w:pPr>
      <w:r>
        <w:t>CA1 · Alta de variable de condición</w:t>
      </w:r>
    </w:p>
    <w:p>
      <w:pPr>
        <w:spacing w:after="120"/>
      </w:pPr>
      <w:r>
        <w:rPr>
          <w:b w:val="0"/>
          <w:i/>
          <w:color w:val="555555"/>
          <w:sz w:val="20"/>
        </w:rPr>
        <w:t>Criterio de aceptación: Cuando defino la variable Temperatura de descanso con unidad grados Celsius</w:t>
        <w:br/>
        <w:t>Entonces queda disponible para asociarla a activos y a ítems de checklist</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Activos › Variables de condición › Nueva: equipo ACT-35, variable Temperatura, unidad °C, umbrales 20 / 70 / 80 / 95, frecuencia 24 h › Guardar.</w:t>
            </w:r>
          </w:p>
        </w:tc>
      </w:tr>
      <w:tr>
        <w:tc>
          <w:tcPr>
            <w:tcW w:type="dxa" w:w="2041"/>
            <w:shd w:val="clear" w:color="auto" w:fill="F3F1FB"/>
          </w:tcPr>
          <w:p>
            <w:r/>
            <w:r>
              <w:rPr>
                <w:b/>
                <w:sz w:val="20"/>
              </w:rPr>
              <w:t>Resultado esperado</w:t>
            </w:r>
          </w:p>
        </w:tc>
        <w:tc>
          <w:tcPr>
            <w:tcW w:type="dxa" w:w="7313"/>
          </w:tcPr>
          <w:p>
            <w:r/>
            <w:r>
              <w:rPr>
                <w:b w:val="0"/>
                <w:sz w:val="20"/>
              </w:rPr>
              <w:t>Queda disponible para asociarla a activos y a ítems de checklist.</w:t>
            </w:r>
          </w:p>
        </w:tc>
      </w:tr>
      <w:tr>
        <w:tc>
          <w:tcPr>
            <w:tcW w:type="dxa" w:w="2041"/>
            <w:shd w:val="clear" w:color="auto" w:fill="F3F1FB"/>
          </w:tcPr>
          <w:p>
            <w:r/>
            <w:r>
              <w:rPr>
                <w:b/>
                <w:sz w:val="20"/>
              </w:rPr>
              <w:t>Resultado obtenido</w:t>
            </w:r>
          </w:p>
        </w:tc>
        <w:tc>
          <w:tcPr>
            <w:tcW w:type="dxa" w:w="7313"/>
          </w:tcPr>
          <w:p>
            <w:r/>
            <w:r>
              <w:rPr>
                <w:b w:val="0"/>
                <w:sz w:val="20"/>
              </w:rPr>
              <w:t>Aviso «Variable del equipo creada con éxito. ACEPTAR»; el listado muestra la variable del equipo con sus umbrales.</w:t>
            </w:r>
          </w:p>
        </w:tc>
      </w:tr>
      <w:tr>
        <w:tc>
          <w:tcPr>
            <w:tcW w:type="dxa" w:w="2041"/>
            <w:shd w:val="clear" w:color="auto" w:fill="F3F1FB"/>
          </w:tcPr>
          <w:p>
            <w:r/>
            <w:r>
              <w:rPr>
                <w:b/>
                <w:sz w:val="20"/>
              </w:rPr>
              <w:t>Fecha</w:t>
            </w:r>
          </w:p>
        </w:tc>
        <w:tc>
          <w:tcPr>
            <w:tcW w:type="dxa" w:w="7313"/>
          </w:tcPr>
          <w:p>
            <w:r/>
            <w:r>
              <w:rPr>
                <w:b w:val="0"/>
                <w:sz w:val="20"/>
              </w:rPr>
              <w:t>15-09-2026 00:43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 name="Picture 1"/>
            <wp:cNvGraphicFramePr>
              <a:graphicFrameLocks noChangeAspect="1"/>
            </wp:cNvGraphicFramePr>
            <a:graphic>
              <a:graphicData uri="http://schemas.openxmlformats.org/drawingml/2006/picture">
                <pic:pic>
                  <pic:nvPicPr>
                    <pic:cNvPr id="0" name="hu041_1_modal.png"/>
                    <pic:cNvPicPr/>
                  </pic:nvPicPr>
                  <pic:blipFill>
                    <a:blip r:embed="rId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 — HU-041 CA1 · hu041 1 modal</w:t>
      </w:r>
    </w:p>
    <w:p>
      <w:pPr>
        <w:jc w:val="center"/>
      </w:pPr>
      <w:r>
        <w:drawing>
          <wp:inline xmlns:a="http://schemas.openxmlformats.org/drawingml/2006/main" xmlns:pic="http://schemas.openxmlformats.org/drawingml/2006/picture">
            <wp:extent cx="5940000" cy="5080263"/>
            <wp:docPr id="2" name="Picture 2"/>
            <wp:cNvGraphicFramePr>
              <a:graphicFrameLocks noChangeAspect="1"/>
            </wp:cNvGraphicFramePr>
            <a:graphic>
              <a:graphicData uri="http://schemas.openxmlformats.org/drawingml/2006/picture">
                <pic:pic>
                  <pic:nvPicPr>
                    <pic:cNvPr id="0" name="hu041_1_listado.png"/>
                    <pic:cNvPicPr/>
                  </pic:nvPicPr>
                  <pic:blipFill>
                    <a:blip r:embed="rId10"/>
                    <a:stretch>
                      <a:fillRect/>
                    </a:stretch>
                  </pic:blipFill>
                  <pic:spPr>
                    <a:xfrm>
                      <a:off x="0" y="0"/>
                      <a:ext cx="5940000" cy="5080263"/>
                    </a:xfrm>
                    <a:prstGeom prst="rect"/>
                  </pic:spPr>
                </pic:pic>
              </a:graphicData>
            </a:graphic>
          </wp:inline>
        </w:drawing>
      </w:r>
    </w:p>
    <w:p>
      <w:pPr>
        <w:spacing w:after="200"/>
        <w:jc w:val="center"/>
      </w:pPr>
      <w:r>
        <w:rPr>
          <w:b w:val="0"/>
          <w:i/>
          <w:color w:val="555555"/>
          <w:sz w:val="18"/>
        </w:rPr>
        <w:t>Figura 2 — HU-041 CA1 · hu041 1 listado</w:t>
      </w:r>
    </w:p>
    <w:p>
      <w:pPr>
        <w:pStyle w:val="Heading3"/>
      </w:pPr>
      <w:r>
        <w:t>CA2 · Mediciones validadas contra los umbrales</w:t>
      </w:r>
    </w:p>
    <w:p>
      <w:pPr>
        <w:spacing w:after="120"/>
      </w:pPr>
      <w:r>
        <w:rPr>
          <w:b w:val="0"/>
          <w:i/>
          <w:color w:val="555555"/>
          <w:sz w:val="20"/>
        </w:rPr>
        <w:t>Criterio de aceptación: Cuando asocio la variable a un activo con sus umbrales</w:t>
        <w:br/>
        <w:t>Entonces las mediciones de ese activo se validan contra esos umbrales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Swagger › POST /captura/mediciones con la variable Temperatura de ACT-35 (umbrales 20/70/80/95): valor 85 °C; luego valor 45 °C.</w:t>
            </w:r>
          </w:p>
        </w:tc>
      </w:tr>
      <w:tr>
        <w:tc>
          <w:tcPr>
            <w:tcW w:type="dxa" w:w="2041"/>
            <w:shd w:val="clear" w:color="auto" w:fill="F3F1FB"/>
          </w:tcPr>
          <w:p>
            <w:r/>
            <w:r>
              <w:rPr>
                <w:b/>
                <w:sz w:val="20"/>
              </w:rPr>
              <w:t>Resultado esperado</w:t>
            </w:r>
          </w:p>
        </w:tc>
        <w:tc>
          <w:tcPr>
            <w:tcW w:type="dxa" w:w="7313"/>
          </w:tcPr>
          <w:p>
            <w:r/>
            <w:r>
              <w:rPr>
                <w:b w:val="0"/>
                <w:sz w:val="20"/>
              </w:rPr>
              <w:t>Las mediciones del activo se validan contra los umbrales de su variable.</w:t>
            </w:r>
          </w:p>
        </w:tc>
      </w:tr>
      <w:tr>
        <w:tc>
          <w:tcPr>
            <w:tcW w:type="dxa" w:w="2041"/>
            <w:shd w:val="clear" w:color="auto" w:fill="F3F1FB"/>
          </w:tcPr>
          <w:p>
            <w:r/>
            <w:r>
              <w:rPr>
                <w:b/>
                <w:sz w:val="20"/>
              </w:rPr>
              <w:t>Resultado obtenido</w:t>
            </w:r>
          </w:p>
        </w:tc>
        <w:tc>
          <w:tcPr>
            <w:tcW w:type="dxa" w:w="7313"/>
          </w:tcPr>
          <w:p>
            <w:r/>
            <w:r>
              <w:rPr>
                <w:b w:val="0"/>
                <w:sz w:val="20"/>
              </w:rPr>
              <w:t>85 °C → HTTP 201: {</w:t>
              <w:br/>
              <w:t xml:space="preserve">  "id": 485,</w:t>
              <w:br/>
              <w:t xml:space="preserve">  "mensaje": "Medicion registrada. VALOR CRITICO: supera el umbral definido."</w:t>
              <w:br/>
              <w:t>}. 45 °C → HTTP 201: {</w:t>
              <w:br/>
              <w:t xml:space="preserve">  "id": 486,</w:t>
              <w:br/>
              <w:t xml:space="preserve">  "mensaje": "Medicion registrada."</w:t>
              <w:br/>
              <w:t>}.</w:t>
            </w:r>
          </w:p>
        </w:tc>
      </w:tr>
      <w:tr>
        <w:tc>
          <w:tcPr>
            <w:tcW w:type="dxa" w:w="2041"/>
            <w:shd w:val="clear" w:color="auto" w:fill="F3F1FB"/>
          </w:tcPr>
          <w:p>
            <w:r/>
            <w:r>
              <w:rPr>
                <w:b/>
                <w:sz w:val="20"/>
              </w:rPr>
              <w:t>Fecha</w:t>
            </w:r>
          </w:p>
        </w:tc>
        <w:tc>
          <w:tcPr>
            <w:tcW w:type="dxa" w:w="7313"/>
          </w:tcPr>
          <w:p>
            <w:r/>
            <w:r>
              <w:rPr>
                <w:b w:val="0"/>
                <w:sz w:val="20"/>
              </w:rPr>
              <w:t>15-09-2026 00:49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365526"/>
            <wp:docPr id="3" name="Picture 3"/>
            <wp:cNvGraphicFramePr>
              <a:graphicFrameLocks noChangeAspect="1"/>
            </wp:cNvGraphicFramePr>
            <a:graphic>
              <a:graphicData uri="http://schemas.openxmlformats.org/drawingml/2006/picture">
                <pic:pic>
                  <pic:nvPicPr>
                    <pic:cNvPr id="0" name="hu041_2_sw_medicion_critica.png"/>
                    <pic:cNvPicPr/>
                  </pic:nvPicPr>
                  <pic:blipFill>
                    <a:blip r:embed="rId11"/>
                    <a:stretch>
                      <a:fillRect/>
                    </a:stretch>
                  </pic:blipFill>
                  <pic:spPr>
                    <a:xfrm>
                      <a:off x="0" y="0"/>
                      <a:ext cx="5940000" cy="6365526"/>
                    </a:xfrm>
                    <a:prstGeom prst="rect"/>
                  </pic:spPr>
                </pic:pic>
              </a:graphicData>
            </a:graphic>
          </wp:inline>
        </w:drawing>
      </w:r>
    </w:p>
    <w:p>
      <w:pPr>
        <w:spacing w:after="200"/>
        <w:jc w:val="center"/>
      </w:pPr>
      <w:r>
        <w:rPr>
          <w:b w:val="0"/>
          <w:i/>
          <w:color w:val="555555"/>
          <w:sz w:val="18"/>
        </w:rPr>
        <w:t>Figura 3 — HU-041 CA2 · hu041 2 sw medicion critica</w:t>
      </w:r>
    </w:p>
    <w:p>
      <w:pPr>
        <w:jc w:val="center"/>
      </w:pPr>
      <w:r>
        <w:drawing>
          <wp:inline xmlns:a="http://schemas.openxmlformats.org/drawingml/2006/main" xmlns:pic="http://schemas.openxmlformats.org/drawingml/2006/picture">
            <wp:extent cx="5940000" cy="6440858"/>
            <wp:docPr id="4" name="Picture 4"/>
            <wp:cNvGraphicFramePr>
              <a:graphicFrameLocks noChangeAspect="1"/>
            </wp:cNvGraphicFramePr>
            <a:graphic>
              <a:graphicData uri="http://schemas.openxmlformats.org/drawingml/2006/picture">
                <pic:pic>
                  <pic:nvPicPr>
                    <pic:cNvPr id="0" name="hu041_2_sw_medicion_normal.png"/>
                    <pic:cNvPicPr/>
                  </pic:nvPicPr>
                  <pic:blipFill>
                    <a:blip r:embed="rId12"/>
                    <a:stretch>
                      <a:fillRect/>
                    </a:stretch>
                  </pic:blipFill>
                  <pic:spPr>
                    <a:xfrm>
                      <a:off x="0" y="0"/>
                      <a:ext cx="5940000" cy="6440858"/>
                    </a:xfrm>
                    <a:prstGeom prst="rect"/>
                  </pic:spPr>
                </pic:pic>
              </a:graphicData>
            </a:graphic>
          </wp:inline>
        </w:drawing>
      </w:r>
    </w:p>
    <w:p>
      <w:pPr>
        <w:spacing w:after="200"/>
        <w:jc w:val="center"/>
      </w:pPr>
      <w:r>
        <w:rPr>
          <w:b w:val="0"/>
          <w:i/>
          <w:color w:val="555555"/>
          <w:sz w:val="18"/>
        </w:rPr>
        <w:t>Figura 4 — HU-041 CA2 · hu041 2 sw medicion normal</w:t>
      </w:r>
    </w:p>
    <w:p>
      <w:pPr>
        <w:pStyle w:val="Heading3"/>
      </w:pPr>
      <w:r>
        <w:t>CA2 · Defecto corregido: la API descartaba el veredicto de los umbrales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Primera corrida de HU-041 #2: POST /captura/mediciones con 85 °C respondía 201 con solo {"id"}.</w:t>
            </w:r>
          </w:p>
        </w:tc>
      </w:tr>
      <w:tr>
        <w:tc>
          <w:tcPr>
            <w:tcW w:type="dxa" w:w="2041"/>
            <w:shd w:val="clear" w:color="auto" w:fill="F3F1FB"/>
          </w:tcPr>
          <w:p>
            <w:r/>
            <w:r>
              <w:rPr>
                <w:b/>
                <w:sz w:val="20"/>
              </w:rPr>
              <w:t>Resultado esperado</w:t>
            </w:r>
          </w:p>
        </w:tc>
        <w:tc>
          <w:tcPr>
            <w:tcW w:type="dxa" w:w="7313"/>
          </w:tcPr>
          <w:p>
            <w:r/>
            <w:r>
              <w:rPr>
                <w:b w:val="0"/>
                <w:sz w:val="20"/>
              </w:rPr>
              <w:t>La respuesta debe decir si la medición quedó normal, en advertencia, crítica o fuera del rango operativo.</w:t>
            </w:r>
          </w:p>
        </w:tc>
      </w:tr>
      <w:tr>
        <w:tc>
          <w:tcPr>
            <w:tcW w:type="dxa" w:w="2041"/>
            <w:shd w:val="clear" w:color="auto" w:fill="F3F1FB"/>
          </w:tcPr>
          <w:p>
            <w:r/>
            <w:r>
              <w:rPr>
                <w:b/>
                <w:sz w:val="20"/>
              </w:rPr>
              <w:t>Resultado obtenido</w:t>
            </w:r>
          </w:p>
        </w:tc>
        <w:tc>
          <w:tcPr>
            <w:tcW w:type="dxa" w:w="7313"/>
          </w:tcPr>
          <w:p>
            <w:r/>
            <w:r>
              <w:rPr>
                <w:b w:val="0"/>
                <w:sz w:val="20"/>
              </w:rPr>
              <w:t>Causa: API_INS_ACTIVO_MEDICION calcula el veredicto en su SELECT (BD/141), pero CapturaTerrenoController.Medicion usaba Datos.Ejecutar y lo tiraba: el 201 traía solo el id. Corrección: se lee el result set (MedicionRegistradaDto) y el 201 responde {id, mensaje}; ApiBase.Creado ganó una sobrecarga con cuerpo. Recompilado (0 errores) y reprobado: 85 °C → «VALOR CRITICO», 45 °C → «Medicion registrada».</w:t>
            </w:r>
          </w:p>
        </w:tc>
      </w:tr>
      <w:tr>
        <w:tc>
          <w:tcPr>
            <w:tcW w:type="dxa" w:w="2041"/>
            <w:shd w:val="clear" w:color="auto" w:fill="F3F1FB"/>
          </w:tcPr>
          <w:p>
            <w:r/>
            <w:r>
              <w:rPr>
                <w:b/>
                <w:sz w:val="20"/>
              </w:rPr>
              <w:t>Fecha</w:t>
            </w:r>
          </w:p>
        </w:tc>
        <w:tc>
          <w:tcPr>
            <w:tcW w:type="dxa" w:w="7313"/>
          </w:tcPr>
          <w:p>
            <w:r/>
            <w:r>
              <w:rPr>
                <w:b w:val="0"/>
                <w:sz w:val="20"/>
              </w:rPr>
              <w:t>15-09-2026 00:49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348595"/>
            <wp:docPr id="5" name="Picture 5"/>
            <wp:cNvGraphicFramePr>
              <a:graphicFrameLocks noChangeAspect="1"/>
            </wp:cNvGraphicFramePr>
            <a:graphic>
              <a:graphicData uri="http://schemas.openxmlformats.org/drawingml/2006/picture">
                <pic:pic>
                  <pic:nvPicPr>
                    <pic:cNvPr id="0" name="hu041_2_defecto_solo_id.png"/>
                    <pic:cNvPicPr/>
                  </pic:nvPicPr>
                  <pic:blipFill>
                    <a:blip r:embed="rId13"/>
                    <a:stretch>
                      <a:fillRect/>
                    </a:stretch>
                  </pic:blipFill>
                  <pic:spPr>
                    <a:xfrm>
                      <a:off x="0" y="0"/>
                      <a:ext cx="5940000" cy="6348595"/>
                    </a:xfrm>
                    <a:prstGeom prst="rect"/>
                  </pic:spPr>
                </pic:pic>
              </a:graphicData>
            </a:graphic>
          </wp:inline>
        </w:drawing>
      </w:r>
    </w:p>
    <w:p>
      <w:pPr>
        <w:spacing w:after="200"/>
        <w:jc w:val="center"/>
      </w:pPr>
      <w:r>
        <w:rPr>
          <w:b w:val="0"/>
          <w:i/>
          <w:color w:val="555555"/>
          <w:sz w:val="18"/>
        </w:rPr>
        <w:t>Figura 5 — HU-041 CA2 · hu041 2 defecto solo id</w:t>
      </w:r>
    </w:p>
    <w:p>
      <w:pPr>
        <w:jc w:val="center"/>
      </w:pPr>
      <w:r>
        <w:drawing>
          <wp:inline xmlns:a="http://schemas.openxmlformats.org/drawingml/2006/main" xmlns:pic="http://schemas.openxmlformats.org/drawingml/2006/picture">
            <wp:extent cx="5940000" cy="6365526"/>
            <wp:docPr id="6" name="Picture 6"/>
            <wp:cNvGraphicFramePr>
              <a:graphicFrameLocks noChangeAspect="1"/>
            </wp:cNvGraphicFramePr>
            <a:graphic>
              <a:graphicData uri="http://schemas.openxmlformats.org/drawingml/2006/picture">
                <pic:pic>
                  <pic:nvPicPr>
                    <pic:cNvPr id="0" name="hu041_2_sw_medicion_critica.png"/>
                    <pic:cNvPicPr/>
                  </pic:nvPicPr>
                  <pic:blipFill>
                    <a:blip r:embed="rId11"/>
                    <a:stretch>
                      <a:fillRect/>
                    </a:stretch>
                  </pic:blipFill>
                  <pic:spPr>
                    <a:xfrm>
                      <a:off x="0" y="0"/>
                      <a:ext cx="5940000" cy="6365526"/>
                    </a:xfrm>
                    <a:prstGeom prst="rect"/>
                  </pic:spPr>
                </pic:pic>
              </a:graphicData>
            </a:graphic>
          </wp:inline>
        </w:drawing>
      </w:r>
    </w:p>
    <w:p>
      <w:pPr>
        <w:spacing w:after="200"/>
        <w:jc w:val="center"/>
      </w:pPr>
      <w:r>
        <w:rPr>
          <w:b w:val="0"/>
          <w:i/>
          <w:color w:val="555555"/>
          <w:sz w:val="18"/>
        </w:rPr>
        <w:t>Figura 6 — HU-041 CA2 · hu041 2 sw medicion critica</w:t>
      </w:r>
    </w:p>
    <w:p>
      <w:pPr>
        <w:pStyle w:val="Heading2"/>
      </w:pPr>
      <w:r>
        <w:t>HU-190 · Administrar planes comerciales</w:t>
      </w:r>
    </w:p>
    <w:p>
      <w:pPr>
        <w:pStyle w:val="Heading3"/>
      </w:pPr>
      <w:r>
        <w:t>CA1 · Alta de plan comercial con precio y periodicidad</w:t>
      </w:r>
    </w:p>
    <w:p>
      <w:pPr>
        <w:spacing w:after="120"/>
      </w:pPr>
      <w:r>
        <w:rPr>
          <w:b w:val="0"/>
          <w:i/>
          <w:color w:val="555555"/>
          <w:sz w:val="20"/>
        </w:rPr>
        <w:t>Criterio de aceptación: Cuando creo un plan indicando su precio y su periodicidad</w:t>
        <w:br/>
        <w:t>Entonces queda disponible para contratarse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Comercial › Planes › Nuevo: código, nombre, días de gracia 7 › Guardar › Fijar precio 30 UF con periodicidad.</w:t>
            </w:r>
          </w:p>
        </w:tc>
      </w:tr>
      <w:tr>
        <w:tc>
          <w:tcPr>
            <w:tcW w:type="dxa" w:w="2041"/>
            <w:shd w:val="clear" w:color="auto" w:fill="F3F1FB"/>
          </w:tcPr>
          <w:p>
            <w:r/>
            <w:r>
              <w:rPr>
                <w:b/>
                <w:sz w:val="20"/>
              </w:rPr>
              <w:t>Resultado esperado</w:t>
            </w:r>
          </w:p>
        </w:tc>
        <w:tc>
          <w:tcPr>
            <w:tcW w:type="dxa" w:w="7313"/>
          </w:tcPr>
          <w:p>
            <w:r/>
            <w:r>
              <w:rPr>
                <w:b w:val="0"/>
                <w:sz w:val="20"/>
              </w:rPr>
              <w:t>Queda disponible para contratarse.</w:t>
            </w:r>
          </w:p>
        </w:tc>
      </w:tr>
      <w:tr>
        <w:tc>
          <w:tcPr>
            <w:tcW w:type="dxa" w:w="2041"/>
            <w:shd w:val="clear" w:color="auto" w:fill="F3F1FB"/>
          </w:tcPr>
          <w:p>
            <w:r/>
            <w:r>
              <w:rPr>
                <w:b/>
                <w:sz w:val="20"/>
              </w:rPr>
              <w:t>Resultado obtenido</w:t>
            </w:r>
          </w:p>
        </w:tc>
        <w:tc>
          <w:tcPr>
            <w:tcW w:type="dxa" w:w="7313"/>
          </w:tcPr>
          <w:p>
            <w:r/>
            <w:r>
              <w:rPr>
                <w:b w:val="0"/>
                <w:sz w:val="20"/>
              </w:rPr>
              <w:t>Guardar: «Plan creado con éxito. Ahora fíjele un precio: sin precio vigente, ese plan no se vende. ACEPTAR». Precio: «Precio fijado con éxito. El anterior queda cerrado, no borrado. ACEPTAR». El listado muestra el plan nuevo.</w:t>
            </w:r>
          </w:p>
        </w:tc>
      </w:tr>
      <w:tr>
        <w:tc>
          <w:tcPr>
            <w:tcW w:type="dxa" w:w="2041"/>
            <w:shd w:val="clear" w:color="auto" w:fill="F3F1FB"/>
          </w:tcPr>
          <w:p>
            <w:r/>
            <w:r>
              <w:rPr>
                <w:b/>
                <w:sz w:val="20"/>
              </w:rPr>
              <w:t>Fecha</w:t>
            </w:r>
          </w:p>
        </w:tc>
        <w:tc>
          <w:tcPr>
            <w:tcW w:type="dxa" w:w="7313"/>
          </w:tcPr>
          <w:p>
            <w:r/>
            <w:r>
              <w:rPr>
                <w:b w:val="0"/>
                <w:sz w:val="20"/>
              </w:rPr>
              <w:t>15-09-2026 01:21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7" name="Picture 7"/>
            <wp:cNvGraphicFramePr>
              <a:graphicFrameLocks noChangeAspect="1"/>
            </wp:cNvGraphicFramePr>
            <a:graphic>
              <a:graphicData uri="http://schemas.openxmlformats.org/drawingml/2006/picture">
                <pic:pic>
                  <pic:nvPicPr>
                    <pic:cNvPr id="0" name="hu190_1_modal.png"/>
                    <pic:cNvPicPr/>
                  </pic:nvPicPr>
                  <pic:blipFill>
                    <a:blip r:embed="rId1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 — HU-190 CA1 · hu190 1 modal</w:t>
      </w:r>
    </w:p>
    <w:p>
      <w:pPr>
        <w:jc w:val="center"/>
      </w:pPr>
      <w:r>
        <w:drawing>
          <wp:inline xmlns:a="http://schemas.openxmlformats.org/drawingml/2006/main" xmlns:pic="http://schemas.openxmlformats.org/drawingml/2006/picture">
            <wp:extent cx="5940000" cy="6041050"/>
            <wp:docPr id="8" name="Picture 8"/>
            <wp:cNvGraphicFramePr>
              <a:graphicFrameLocks noChangeAspect="1"/>
            </wp:cNvGraphicFramePr>
            <a:graphic>
              <a:graphicData uri="http://schemas.openxmlformats.org/drawingml/2006/picture">
                <pic:pic>
                  <pic:nvPicPr>
                    <pic:cNvPr id="0" name="hu190_1_precio.png"/>
                    <pic:cNvPicPr/>
                  </pic:nvPicPr>
                  <pic:blipFill>
                    <a:blip r:embed="rId15"/>
                    <a:stretch>
                      <a:fillRect/>
                    </a:stretch>
                  </pic:blipFill>
                  <pic:spPr>
                    <a:xfrm>
                      <a:off x="0" y="0"/>
                      <a:ext cx="5940000" cy="6041050"/>
                    </a:xfrm>
                    <a:prstGeom prst="rect"/>
                  </pic:spPr>
                </pic:pic>
              </a:graphicData>
            </a:graphic>
          </wp:inline>
        </w:drawing>
      </w:r>
    </w:p>
    <w:p>
      <w:pPr>
        <w:spacing w:after="200"/>
        <w:jc w:val="center"/>
      </w:pPr>
      <w:r>
        <w:rPr>
          <w:b w:val="0"/>
          <w:i/>
          <w:color w:val="555555"/>
          <w:sz w:val="18"/>
        </w:rPr>
        <w:t>Figura 8 — HU-190 CA1 · hu190 1 precio</w:t>
      </w:r>
    </w:p>
    <w:p>
      <w:pPr>
        <w:jc w:val="center"/>
      </w:pPr>
      <w:r>
        <w:drawing>
          <wp:inline xmlns:a="http://schemas.openxmlformats.org/drawingml/2006/main" xmlns:pic="http://schemas.openxmlformats.org/drawingml/2006/picture">
            <wp:extent cx="5940000" cy="3290725"/>
            <wp:docPr id="9" name="Picture 9"/>
            <wp:cNvGraphicFramePr>
              <a:graphicFrameLocks noChangeAspect="1"/>
            </wp:cNvGraphicFramePr>
            <a:graphic>
              <a:graphicData uri="http://schemas.openxmlformats.org/drawingml/2006/picture">
                <pic:pic>
                  <pic:nvPicPr>
                    <pic:cNvPr id="0" name="hu190_1_listado.png"/>
                    <pic:cNvPicPr/>
                  </pic:nvPicPr>
                  <pic:blipFill>
                    <a:blip r:embed="rId16"/>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9 — HU-190 CA1 · hu190 1 listado</w:t>
      </w:r>
    </w:p>
    <w:p>
      <w:pPr>
        <w:pStyle w:val="Heading3"/>
      </w:pPr>
      <w:r>
        <w:t>CA2 · Funcionalidades del plan</w:t>
      </w:r>
    </w:p>
    <w:p>
      <w:pPr>
        <w:spacing w:after="120"/>
      </w:pPr>
      <w:r>
        <w:rPr>
          <w:b w:val="0"/>
          <w:i/>
          <w:color w:val="555555"/>
          <w:sz w:val="20"/>
        </w:rPr>
        <w:t>Criterio de aceptación: Cuando defino que funcionalidades incluye</w:t>
        <w:br/>
        <w:t>Entonces cada una se declara como incluida o con un límite numérico</w:t>
        <w:br/>
        <w:t>Y cuando declara un límite el valor del límite es obligatorio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Plan nuevo › pestaña Contenido › marcar funcionalidades como incluidas (o con tope numérico) › Guardar contenido.</w:t>
            </w:r>
          </w:p>
        </w:tc>
      </w:tr>
      <w:tr>
        <w:tc>
          <w:tcPr>
            <w:tcW w:type="dxa" w:w="2041"/>
            <w:shd w:val="clear" w:color="auto" w:fill="F3F1FB"/>
          </w:tcPr>
          <w:p>
            <w:r/>
            <w:r>
              <w:rPr>
                <w:b/>
                <w:sz w:val="20"/>
              </w:rPr>
              <w:t>Resultado esperado</w:t>
            </w:r>
          </w:p>
        </w:tc>
        <w:tc>
          <w:tcPr>
            <w:tcW w:type="dxa" w:w="7313"/>
          </w:tcPr>
          <w:p>
            <w:r/>
            <w:r>
              <w:rPr>
                <w:b w:val="0"/>
                <w:sz w:val="20"/>
              </w:rPr>
              <w:t>Cada funcionalidad se declara incluida o con un límite; si declara límite, el valor es obligatorio.</w:t>
            </w:r>
          </w:p>
        </w:tc>
      </w:tr>
      <w:tr>
        <w:tc>
          <w:tcPr>
            <w:tcW w:type="dxa" w:w="2041"/>
            <w:shd w:val="clear" w:color="auto" w:fill="F3F1FB"/>
          </w:tcPr>
          <w:p>
            <w:r/>
            <w:r>
              <w:rPr>
                <w:b/>
                <w:sz w:val="20"/>
              </w:rPr>
              <w:t>Resultado obtenido</w:t>
            </w:r>
          </w:p>
        </w:tc>
        <w:tc>
          <w:tcPr>
            <w:tcW w:type="dxa" w:w="7313"/>
          </w:tcPr>
          <w:p>
            <w:r/>
            <w:r>
              <w:rPr>
                <w:b w:val="0"/>
                <w:sz w:val="20"/>
              </w:rPr>
              <w:t>Aviso «The INSERT statement conflicted with the CHECK constraint CK_PCF_LIMITE. The conflict occurred in database db_acd593_sigma, table dbo.Plan_Comercial_Funcionalidad.The statement has been terminated. The INSERT statement conflicted with the CHECK constraint CK_PCF_LIMITE. The conflict occurred in database db_acd593_sigma, table dbo.Plan_Comercial_Funcionalidad.The statement has been terminated. The INSERT statement conflicted with the CHECK constraint CK_PCF_LIMITE. The conflict occurred in database db_acd593_sigma, table dbo.Plan_Comercial_Funcionalidad.The statement has been terminated. The INSERT statement conflicted with the CHECK constraint CK_PCF_LIMITE. The conflict occurred in database db_acd593_sigma, table dbo.Plan_Comercial_Funcionalidad.The statement has been terminated. ACEPTAR»; la grilla muestra las funcionalidades con su casilla y el campo de tope. En Plan_Comercial_Funcionalidad el plan queda con 3 funcionalidades incluidas.</w:t>
            </w:r>
          </w:p>
        </w:tc>
      </w:tr>
      <w:tr>
        <w:tc>
          <w:tcPr>
            <w:tcW w:type="dxa" w:w="2041"/>
            <w:shd w:val="clear" w:color="auto" w:fill="F3F1FB"/>
          </w:tcPr>
          <w:p>
            <w:r/>
            <w:r>
              <w:rPr>
                <w:b/>
                <w:sz w:val="20"/>
              </w:rPr>
              <w:t>Fecha</w:t>
            </w:r>
          </w:p>
        </w:tc>
        <w:tc>
          <w:tcPr>
            <w:tcW w:type="dxa" w:w="7313"/>
          </w:tcPr>
          <w:p>
            <w:r/>
            <w:r>
              <w:rPr>
                <w:b w:val="0"/>
                <w:sz w:val="20"/>
              </w:rPr>
              <w:t>15-09-2026 01:21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113398"/>
            <wp:docPr id="10" name="Picture 10"/>
            <wp:cNvGraphicFramePr>
              <a:graphicFrameLocks noChangeAspect="1"/>
            </wp:cNvGraphicFramePr>
            <a:graphic>
              <a:graphicData uri="http://schemas.openxmlformats.org/drawingml/2006/picture">
                <pic:pic>
                  <pic:nvPicPr>
                    <pic:cNvPr id="0" name="hu190_2_contenido.png"/>
                    <pic:cNvPicPr/>
                  </pic:nvPicPr>
                  <pic:blipFill>
                    <a:blip r:embed="rId17"/>
                    <a:stretch>
                      <a:fillRect/>
                    </a:stretch>
                  </pic:blipFill>
                  <pic:spPr>
                    <a:xfrm>
                      <a:off x="0" y="0"/>
                      <a:ext cx="5940000" cy="6113398"/>
                    </a:xfrm>
                    <a:prstGeom prst="rect"/>
                  </pic:spPr>
                </pic:pic>
              </a:graphicData>
            </a:graphic>
          </wp:inline>
        </w:drawing>
      </w:r>
    </w:p>
    <w:p>
      <w:pPr>
        <w:spacing w:after="200"/>
        <w:jc w:val="center"/>
      </w:pPr>
      <w:r>
        <w:rPr>
          <w:b w:val="0"/>
          <w:i/>
          <w:color w:val="555555"/>
          <w:sz w:val="18"/>
        </w:rPr>
        <w:t>Figura 10 — HU-190 CA2 · hu190 2 contenido</w:t>
      </w:r>
    </w:p>
    <w:p>
      <w:pPr>
        <w:jc w:val="center"/>
      </w:pPr>
      <w:r>
        <w:drawing>
          <wp:inline xmlns:a="http://schemas.openxmlformats.org/drawingml/2006/main" xmlns:pic="http://schemas.openxmlformats.org/drawingml/2006/picture">
            <wp:extent cx="5940000" cy="3330135"/>
            <wp:docPr id="11" name="Picture 11"/>
            <wp:cNvGraphicFramePr>
              <a:graphicFrameLocks noChangeAspect="1"/>
            </wp:cNvGraphicFramePr>
            <a:graphic>
              <a:graphicData uri="http://schemas.openxmlformats.org/drawingml/2006/picture">
                <pic:pic>
                  <pic:nvPicPr>
                    <pic:cNvPr id="0" name="hu190_2_guardado.png"/>
                    <pic:cNvPicPr/>
                  </pic:nvPicPr>
                  <pic:blipFill>
                    <a:blip r:embed="rId18"/>
                    <a:stretch>
                      <a:fillRect/>
                    </a:stretch>
                  </pic:blipFill>
                  <pic:spPr>
                    <a:xfrm>
                      <a:off x="0" y="0"/>
                      <a:ext cx="5940000" cy="3330135"/>
                    </a:xfrm>
                    <a:prstGeom prst="rect"/>
                  </pic:spPr>
                </pic:pic>
              </a:graphicData>
            </a:graphic>
          </wp:inline>
        </w:drawing>
      </w:r>
    </w:p>
    <w:p>
      <w:pPr>
        <w:spacing w:after="200"/>
        <w:jc w:val="center"/>
      </w:pPr>
      <w:r>
        <w:rPr>
          <w:b w:val="0"/>
          <w:i/>
          <w:color w:val="555555"/>
          <w:sz w:val="18"/>
        </w:rPr>
        <w:t>Figura 11 — HU-190 CA2 · hu190 2 guardado</w:t>
      </w:r>
    </w:p>
    <w:p>
      <w:pPr>
        <w:pStyle w:val="Heading3"/>
      </w:pPr>
      <w:r>
        <w:t>CA3 · Cambio de precio no toca la suscripción vigente</w:t>
      </w:r>
    </w:p>
    <w:p>
      <w:pPr>
        <w:spacing w:after="120"/>
      </w:pPr>
      <w:r>
        <w:rPr>
          <w:b w:val="0"/>
          <w:i/>
          <w:color w:val="555555"/>
          <w:sz w:val="20"/>
        </w:rPr>
        <w:t>Criterio de aceptación: Cuando modifico el precio de un plan</w:t>
        <w:br/>
        <w:t>Entonces las suscripciones vigentes conservan el precio con que se contrataron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Plan Full › Precios › fijar 55 UF desde hoy › Períodos de Hamburgo.</w:t>
            </w:r>
          </w:p>
        </w:tc>
      </w:tr>
      <w:tr>
        <w:tc>
          <w:tcPr>
            <w:tcW w:type="dxa" w:w="2041"/>
            <w:shd w:val="clear" w:color="auto" w:fill="F3F1FB"/>
          </w:tcPr>
          <w:p>
            <w:r/>
            <w:r>
              <w:rPr>
                <w:b/>
                <w:sz w:val="20"/>
              </w:rPr>
              <w:t>Resultado esperado</w:t>
            </w:r>
          </w:p>
        </w:tc>
        <w:tc>
          <w:tcPr>
            <w:tcW w:type="dxa" w:w="7313"/>
          </w:tcPr>
          <w:p>
            <w:r/>
            <w:r>
              <w:rPr>
                <w:b w:val="0"/>
                <w:sz w:val="20"/>
              </w:rPr>
              <w:t>Las suscripciones vigentes conservan el precio con que se contrataron.</w:t>
            </w:r>
          </w:p>
        </w:tc>
      </w:tr>
      <w:tr>
        <w:tc>
          <w:tcPr>
            <w:tcW w:type="dxa" w:w="2041"/>
            <w:shd w:val="clear" w:color="auto" w:fill="F3F1FB"/>
          </w:tcPr>
          <w:p>
            <w:r/>
            <w:r>
              <w:rPr>
                <w:b/>
                <w:sz w:val="20"/>
              </w:rPr>
              <w:t>Resultado obtenido</w:t>
            </w:r>
          </w:p>
        </w:tc>
        <w:tc>
          <w:tcPr>
            <w:tcW w:type="dxa" w:w="7313"/>
          </w:tcPr>
          <w:p>
            <w:r/>
            <w:r>
              <w:rPr>
                <w:b w:val="0"/>
                <w:sz w:val="20"/>
              </w:rPr>
              <w:t>Precio nuevo: «Precio fijado con éxito. El anterior queda cerrado, no borrado. ACEPTAR». El período vigente de Hamburgo sigue a 45 UF (spe_valor_uf_plan congelado en el período).</w:t>
            </w:r>
          </w:p>
        </w:tc>
      </w:tr>
      <w:tr>
        <w:tc>
          <w:tcPr>
            <w:tcW w:type="dxa" w:w="2041"/>
            <w:shd w:val="clear" w:color="auto" w:fill="F3F1FB"/>
          </w:tcPr>
          <w:p>
            <w:r/>
            <w:r>
              <w:rPr>
                <w:b/>
                <w:sz w:val="20"/>
              </w:rPr>
              <w:t>Fecha</w:t>
            </w:r>
          </w:p>
        </w:tc>
        <w:tc>
          <w:tcPr>
            <w:tcW w:type="dxa" w:w="7313"/>
          </w:tcPr>
          <w:p>
            <w:r/>
            <w:r>
              <w:rPr>
                <w:b w:val="0"/>
                <w:sz w:val="20"/>
              </w:rPr>
              <w:t>15-09-2026 01:22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187500"/>
            <wp:docPr id="12" name="Picture 12"/>
            <wp:cNvGraphicFramePr>
              <a:graphicFrameLocks noChangeAspect="1"/>
            </wp:cNvGraphicFramePr>
            <a:graphic>
              <a:graphicData uri="http://schemas.openxmlformats.org/drawingml/2006/picture">
                <pic:pic>
                  <pic:nvPicPr>
                    <pic:cNvPr id="0" name="hu190_3_precio_nuevo.png"/>
                    <pic:cNvPicPr/>
                  </pic:nvPicPr>
                  <pic:blipFill>
                    <a:blip r:embed="rId19"/>
                    <a:stretch>
                      <a:fillRect/>
                    </a:stretch>
                  </pic:blipFill>
                  <pic:spPr>
                    <a:xfrm>
                      <a:off x="0" y="0"/>
                      <a:ext cx="5940000" cy="6187500"/>
                    </a:xfrm>
                    <a:prstGeom prst="rect"/>
                  </pic:spPr>
                </pic:pic>
              </a:graphicData>
            </a:graphic>
          </wp:inline>
        </w:drawing>
      </w:r>
    </w:p>
    <w:p>
      <w:pPr>
        <w:spacing w:after="200"/>
        <w:jc w:val="center"/>
      </w:pPr>
      <w:r>
        <w:rPr>
          <w:b w:val="0"/>
          <w:i/>
          <w:color w:val="555555"/>
          <w:sz w:val="18"/>
        </w:rPr>
        <w:t>Figura 12 — HU-190 CA3 · hu190 3 precio nuevo</w:t>
      </w:r>
    </w:p>
    <w:p>
      <w:pPr>
        <w:jc w:val="center"/>
      </w:pPr>
      <w:r>
        <w:drawing>
          <wp:inline xmlns:a="http://schemas.openxmlformats.org/drawingml/2006/main" xmlns:pic="http://schemas.openxmlformats.org/drawingml/2006/picture">
            <wp:extent cx="5940000" cy="3252423"/>
            <wp:docPr id="13" name="Picture 13"/>
            <wp:cNvGraphicFramePr>
              <a:graphicFrameLocks noChangeAspect="1"/>
            </wp:cNvGraphicFramePr>
            <a:graphic>
              <a:graphicData uri="http://schemas.openxmlformats.org/drawingml/2006/picture">
                <pic:pic>
                  <pic:nvPicPr>
                    <pic:cNvPr id="0" name="hu190_3_periodo_conserva.png"/>
                    <pic:cNvPicPr/>
                  </pic:nvPicPr>
                  <pic:blipFill>
                    <a:blip r:embed="rId20"/>
                    <a:stretch>
                      <a:fillRect/>
                    </a:stretch>
                  </pic:blipFill>
                  <pic:spPr>
                    <a:xfrm>
                      <a:off x="0" y="0"/>
                      <a:ext cx="5940000" cy="3252423"/>
                    </a:xfrm>
                    <a:prstGeom prst="rect"/>
                  </pic:spPr>
                </pic:pic>
              </a:graphicData>
            </a:graphic>
          </wp:inline>
        </w:drawing>
      </w:r>
    </w:p>
    <w:p>
      <w:pPr>
        <w:spacing w:after="200"/>
        <w:jc w:val="center"/>
      </w:pPr>
      <w:r>
        <w:rPr>
          <w:b w:val="0"/>
          <w:i/>
          <w:color w:val="555555"/>
          <w:sz w:val="18"/>
        </w:rPr>
        <w:t>Figura 13 — HU-190 CA3 · hu190 3 periodo conserva</w:t>
      </w:r>
    </w:p>
    <w:p>
      <w:pPr>
        <w:pStyle w:val="Heading3"/>
      </w:pPr>
      <w:r>
        <w:t>CA1 · Defecto corregido: un plan sin precio no aparecía en el listado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Al crear el plan y volver al listado de Planes, el plan nuevo no estaba (SEL_PLAN_COMERCIAL usaba INNER JOIN con los precios) y la ficha se cerraba sin mostrar el bloque de precios: no había forma de fijarle precio.</w:t>
            </w:r>
          </w:p>
        </w:tc>
      </w:tr>
      <w:tr>
        <w:tc>
          <w:tcPr>
            <w:tcW w:type="dxa" w:w="2041"/>
            <w:shd w:val="clear" w:color="auto" w:fill="F3F1FB"/>
          </w:tcPr>
          <w:p>
            <w:r/>
            <w:r>
              <w:rPr>
                <w:b/>
                <w:sz w:val="20"/>
              </w:rPr>
              <w:t>Resultado esperado</w:t>
            </w:r>
          </w:p>
        </w:tc>
        <w:tc>
          <w:tcPr>
            <w:tcW w:type="dxa" w:w="7313"/>
          </w:tcPr>
          <w:p>
            <w:r/>
            <w:r>
              <w:rPr>
                <w:b w:val="0"/>
                <w:sz w:val="20"/>
              </w:rPr>
              <w:t>El plan recién creado debe poder recibir su precio.</w:t>
            </w:r>
          </w:p>
        </w:tc>
      </w:tr>
      <w:tr>
        <w:tc>
          <w:tcPr>
            <w:tcW w:type="dxa" w:w="2041"/>
            <w:shd w:val="clear" w:color="auto" w:fill="F3F1FB"/>
          </w:tcPr>
          <w:p>
            <w:r/>
            <w:r>
              <w:rPr>
                <w:b/>
                <w:sz w:val="20"/>
              </w:rPr>
              <w:t>Resultado obtenido</w:t>
            </w:r>
          </w:p>
        </w:tc>
        <w:tc>
          <w:tcPr>
            <w:tcW w:type="dxa" w:w="7313"/>
          </w:tcPr>
          <w:p>
            <w:r/>
            <w:r>
              <w:rPr>
                <w:b w:val="0"/>
                <w:sz w:val="20"/>
              </w:rPr>
              <w:t>Corregido con BD/228 (LEFT JOIN: el plan sale como «Sin precio»), PlanComercialController (lee PCB/PCP nulos) y Plan.aspx (tras crear, el mismo modal muestra Habilitado y Precios). Capturas: el modal recién guardado con el bloque de precios y el listado con el plan «Sin precio».</w:t>
            </w:r>
          </w:p>
        </w:tc>
      </w:tr>
      <w:tr>
        <w:tc>
          <w:tcPr>
            <w:tcW w:type="dxa" w:w="2041"/>
            <w:shd w:val="clear" w:color="auto" w:fill="F3F1FB"/>
          </w:tcPr>
          <w:p>
            <w:r/>
            <w:r>
              <w:rPr>
                <w:b/>
                <w:sz w:val="20"/>
              </w:rPr>
              <w:t>Fecha</w:t>
            </w:r>
          </w:p>
        </w:tc>
        <w:tc>
          <w:tcPr>
            <w:tcW w:type="dxa" w:w="7313"/>
          </w:tcPr>
          <w:p>
            <w:r/>
            <w:r>
              <w:rPr>
                <w:b w:val="0"/>
                <w:sz w:val="20"/>
              </w:rPr>
              <w:t>15-09-2026 01:21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566579"/>
            <wp:docPr id="14" name="Picture 14"/>
            <wp:cNvGraphicFramePr>
              <a:graphicFrameLocks noChangeAspect="1"/>
            </wp:cNvGraphicFramePr>
            <a:graphic>
              <a:graphicData uri="http://schemas.openxmlformats.org/drawingml/2006/picture">
                <pic:pic>
                  <pic:nvPicPr>
                    <pic:cNvPr id="0" name="hu190_1_creado_con_precios.png"/>
                    <pic:cNvPicPr/>
                  </pic:nvPicPr>
                  <pic:blipFill>
                    <a:blip r:embed="rId21"/>
                    <a:stretch>
                      <a:fillRect/>
                    </a:stretch>
                  </pic:blipFill>
                  <pic:spPr>
                    <a:xfrm>
                      <a:off x="0" y="0"/>
                      <a:ext cx="5940000" cy="5566579"/>
                    </a:xfrm>
                    <a:prstGeom prst="rect"/>
                  </pic:spPr>
                </pic:pic>
              </a:graphicData>
            </a:graphic>
          </wp:inline>
        </w:drawing>
      </w:r>
    </w:p>
    <w:p>
      <w:pPr>
        <w:spacing w:after="200"/>
        <w:jc w:val="center"/>
      </w:pPr>
      <w:r>
        <w:rPr>
          <w:b w:val="0"/>
          <w:i/>
          <w:color w:val="555555"/>
          <w:sz w:val="18"/>
        </w:rPr>
        <w:t>Figura 14 — HU-190 CA1 · hu190 1 creado con precios</w:t>
      </w:r>
    </w:p>
    <w:p>
      <w:pPr>
        <w:jc w:val="center"/>
      </w:pPr>
      <w:r>
        <w:drawing>
          <wp:inline xmlns:a="http://schemas.openxmlformats.org/drawingml/2006/main" xmlns:pic="http://schemas.openxmlformats.org/drawingml/2006/picture">
            <wp:extent cx="5940000" cy="3252237"/>
            <wp:docPr id="15" name="Picture 15"/>
            <wp:cNvGraphicFramePr>
              <a:graphicFrameLocks noChangeAspect="1"/>
            </wp:cNvGraphicFramePr>
            <a:graphic>
              <a:graphicData uri="http://schemas.openxmlformats.org/drawingml/2006/picture">
                <pic:pic>
                  <pic:nvPicPr>
                    <pic:cNvPr id="0" name="hu190_1_listado_sin_precio.png"/>
                    <pic:cNvPicPr/>
                  </pic:nvPicPr>
                  <pic:blipFill>
                    <a:blip r:embed="rId22"/>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15 — HU-190 CA1 · hu190 1 listado sin precio</w:t>
      </w:r>
    </w:p>
    <w:p>
      <w:pPr>
        <w:pStyle w:val="Heading2"/>
      </w:pPr>
      <w:r>
        <w:t>HU-191 · Contratar o renovar una suscripción</w:t>
      </w:r>
    </w:p>
    <w:p>
      <w:pPr>
        <w:pStyle w:val="Heading3"/>
      </w:pPr>
      <w:r>
        <w:t>CA1 · Contratación de una suscripción</w:t>
      </w:r>
    </w:p>
    <w:p>
      <w:pPr>
        <w:spacing w:after="120"/>
      </w:pPr>
      <w:r>
        <w:rPr>
          <w:b w:val="0"/>
          <w:i/>
          <w:color w:val="555555"/>
          <w:sz w:val="20"/>
        </w:rPr>
        <w:t>Criterio de aceptación: Cuando registro una suscripción con su plan y vigencia</w:t>
        <w:br/>
        <w:t>Entonces el cliente queda habilitado por ese periodo</w:t>
        <w:br/>
        <w:t>Y el precio del plan queda congelado en la suscripción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Cliente CCU › Suscripciones › Crear suscripción con plan Medio y contacto › Guardar.</w:t>
            </w:r>
          </w:p>
        </w:tc>
      </w:tr>
      <w:tr>
        <w:tc>
          <w:tcPr>
            <w:tcW w:type="dxa" w:w="2041"/>
            <w:shd w:val="clear" w:color="auto" w:fill="F3F1FB"/>
          </w:tcPr>
          <w:p>
            <w:r/>
            <w:r>
              <w:rPr>
                <w:b/>
                <w:sz w:val="20"/>
              </w:rPr>
              <w:t>Resultado esperado</w:t>
            </w:r>
          </w:p>
        </w:tc>
        <w:tc>
          <w:tcPr>
            <w:tcW w:type="dxa" w:w="7313"/>
          </w:tcPr>
          <w:p>
            <w:r/>
            <w:r>
              <w:rPr>
                <w:b w:val="0"/>
                <w:sz w:val="20"/>
              </w:rPr>
              <w:t>El cliente queda habilitado por ese período y el precio del plan queda congelado en la suscripción.</w:t>
            </w:r>
          </w:p>
        </w:tc>
      </w:tr>
      <w:tr>
        <w:tc>
          <w:tcPr>
            <w:tcW w:type="dxa" w:w="2041"/>
            <w:shd w:val="clear" w:color="auto" w:fill="F3F1FB"/>
          </w:tcPr>
          <w:p>
            <w:r/>
            <w:r>
              <w:rPr>
                <w:b/>
                <w:sz w:val="20"/>
              </w:rPr>
              <w:t>Resultado obtenido</w:t>
            </w:r>
          </w:p>
        </w:tc>
        <w:tc>
          <w:tcPr>
            <w:tcW w:type="dxa" w:w="7313"/>
          </w:tcPr>
          <w:p>
            <w:r/>
            <w:r>
              <w:rPr>
                <w:b w:val="0"/>
                <w:sz w:val="20"/>
              </w:rPr>
              <w:t>Aviso «»; la suscripción aparece con su plan, vigencia y clave emitida; el período lleva el valor UF del plan al contratar.</w:t>
            </w:r>
          </w:p>
        </w:tc>
      </w:tr>
      <w:tr>
        <w:tc>
          <w:tcPr>
            <w:tcW w:type="dxa" w:w="2041"/>
            <w:shd w:val="clear" w:color="auto" w:fill="F3F1FB"/>
          </w:tcPr>
          <w:p>
            <w:r/>
            <w:r>
              <w:rPr>
                <w:b/>
                <w:sz w:val="20"/>
              </w:rPr>
              <w:t>Fecha</w:t>
            </w:r>
          </w:p>
        </w:tc>
        <w:tc>
          <w:tcPr>
            <w:tcW w:type="dxa" w:w="7313"/>
          </w:tcPr>
          <w:p>
            <w:r/>
            <w:r>
              <w:rPr>
                <w:b w:val="0"/>
                <w:sz w:val="20"/>
              </w:rPr>
              <w:t>15-09-2026 00:26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454239"/>
            <wp:docPr id="16" name="Picture 16"/>
            <wp:cNvGraphicFramePr>
              <a:graphicFrameLocks noChangeAspect="1"/>
            </wp:cNvGraphicFramePr>
            <a:graphic>
              <a:graphicData uri="http://schemas.openxmlformats.org/drawingml/2006/picture">
                <pic:pic>
                  <pic:nvPicPr>
                    <pic:cNvPr id="0" name="hu191_1_modal.png"/>
                    <pic:cNvPicPr/>
                  </pic:nvPicPr>
                  <pic:blipFill>
                    <a:blip r:embed="rId23"/>
                    <a:stretch>
                      <a:fillRect/>
                    </a:stretch>
                  </pic:blipFill>
                  <pic:spPr>
                    <a:xfrm>
                      <a:off x="0" y="0"/>
                      <a:ext cx="5940000" cy="3454239"/>
                    </a:xfrm>
                    <a:prstGeom prst="rect"/>
                  </pic:spPr>
                </pic:pic>
              </a:graphicData>
            </a:graphic>
          </wp:inline>
        </w:drawing>
      </w:r>
    </w:p>
    <w:p>
      <w:pPr>
        <w:spacing w:after="200"/>
        <w:jc w:val="center"/>
      </w:pPr>
      <w:r>
        <w:rPr>
          <w:b w:val="0"/>
          <w:i/>
          <w:color w:val="555555"/>
          <w:sz w:val="18"/>
        </w:rPr>
        <w:t>Figura 16 — HU-191 CA1 · hu191 1 modal</w:t>
      </w:r>
    </w:p>
    <w:p>
      <w:pPr>
        <w:jc w:val="center"/>
      </w:pPr>
      <w:r>
        <w:drawing>
          <wp:inline xmlns:a="http://schemas.openxmlformats.org/drawingml/2006/main" xmlns:pic="http://schemas.openxmlformats.org/drawingml/2006/picture">
            <wp:extent cx="5940000" cy="2792547"/>
            <wp:docPr id="17" name="Picture 17"/>
            <wp:cNvGraphicFramePr>
              <a:graphicFrameLocks noChangeAspect="1"/>
            </wp:cNvGraphicFramePr>
            <a:graphic>
              <a:graphicData uri="http://schemas.openxmlformats.org/drawingml/2006/picture">
                <pic:pic>
                  <pic:nvPicPr>
                    <pic:cNvPr id="0" name="hu191_1_creada.png"/>
                    <pic:cNvPicPr/>
                  </pic:nvPicPr>
                  <pic:blipFill>
                    <a:blip r:embed="rId24"/>
                    <a:stretch>
                      <a:fillRect/>
                    </a:stretch>
                  </pic:blipFill>
                  <pic:spPr>
                    <a:xfrm>
                      <a:off x="0" y="0"/>
                      <a:ext cx="5940000" cy="2792547"/>
                    </a:xfrm>
                    <a:prstGeom prst="rect"/>
                  </pic:spPr>
                </pic:pic>
              </a:graphicData>
            </a:graphic>
          </wp:inline>
        </w:drawing>
      </w:r>
    </w:p>
    <w:p>
      <w:pPr>
        <w:spacing w:after="200"/>
        <w:jc w:val="center"/>
      </w:pPr>
      <w:r>
        <w:rPr>
          <w:b w:val="0"/>
          <w:i/>
          <w:color w:val="555555"/>
          <w:sz w:val="18"/>
        </w:rPr>
        <w:t>Figura 17 — HU-191 CA1 · hu191 1 creada</w:t>
      </w:r>
    </w:p>
    <w:p>
      <w:pPr>
        <w:jc w:val="center"/>
      </w:pPr>
      <w:r>
        <w:drawing>
          <wp:inline xmlns:a="http://schemas.openxmlformats.org/drawingml/2006/main" xmlns:pic="http://schemas.openxmlformats.org/drawingml/2006/picture">
            <wp:extent cx="5940000" cy="3497689"/>
            <wp:docPr id="18" name="Picture 18"/>
            <wp:cNvGraphicFramePr>
              <a:graphicFrameLocks noChangeAspect="1"/>
            </wp:cNvGraphicFramePr>
            <a:graphic>
              <a:graphicData uri="http://schemas.openxmlformats.org/drawingml/2006/picture">
                <pic:pic>
                  <pic:nvPicPr>
                    <pic:cNvPr id="0" name="hu191_1_listado.png"/>
                    <pic:cNvPicPr/>
                  </pic:nvPicPr>
                  <pic:blipFill>
                    <a:blip r:embed="rId25"/>
                    <a:stretch>
                      <a:fillRect/>
                    </a:stretch>
                  </pic:blipFill>
                  <pic:spPr>
                    <a:xfrm>
                      <a:off x="0" y="0"/>
                      <a:ext cx="5940000" cy="3497689"/>
                    </a:xfrm>
                    <a:prstGeom prst="rect"/>
                  </pic:spPr>
                </pic:pic>
              </a:graphicData>
            </a:graphic>
          </wp:inline>
        </w:drawing>
      </w:r>
    </w:p>
    <w:p>
      <w:pPr>
        <w:spacing w:after="200"/>
        <w:jc w:val="center"/>
      </w:pPr>
      <w:r>
        <w:rPr>
          <w:b w:val="0"/>
          <w:i/>
          <w:color w:val="555555"/>
          <w:sz w:val="18"/>
        </w:rPr>
        <w:t>Figura 18 — HU-191 CA1 · hu191 1 listado</w:t>
      </w:r>
    </w:p>
    <w:p>
      <w:pPr>
        <w:pStyle w:val="Heading3"/>
      </w:pPr>
      <w:r>
        <w:t>CA2 · Renovación: el período nuevo empieza al terminar el anterior</w:t>
      </w:r>
    </w:p>
    <w:p>
      <w:pPr>
        <w:spacing w:after="120"/>
      </w:pPr>
      <w:r>
        <w:rPr>
          <w:b w:val="0"/>
          <w:i/>
          <w:color w:val="555555"/>
          <w:sz w:val="20"/>
        </w:rPr>
        <w:t>Criterio de aceptación: Cuando renuevo una suscripción vigente</w:t>
        <w:br/>
        <w:t>Entonces el periodo nuevo comienza al terminar el anterior</w:t>
        <w:br/>
        <w:t>Y no se generan periodos superpuestos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Hamburgo › Períodos › Emitir período (misma periodicidad).</w:t>
            </w:r>
          </w:p>
        </w:tc>
      </w:tr>
      <w:tr>
        <w:tc>
          <w:tcPr>
            <w:tcW w:type="dxa" w:w="2041"/>
            <w:shd w:val="clear" w:color="auto" w:fill="F3F1FB"/>
          </w:tcPr>
          <w:p>
            <w:r/>
            <w:r>
              <w:rPr>
                <w:b/>
                <w:sz w:val="20"/>
              </w:rPr>
              <w:t>Resultado esperado</w:t>
            </w:r>
          </w:p>
        </w:tc>
        <w:tc>
          <w:tcPr>
            <w:tcW w:type="dxa" w:w="7313"/>
          </w:tcPr>
          <w:p>
            <w:r/>
            <w:r>
              <w:rPr>
                <w:b w:val="0"/>
                <w:sz w:val="20"/>
              </w:rPr>
              <w:t>El período nuevo comienza al terminar el anterior y no se generan períodos superpuestos.</w:t>
            </w:r>
          </w:p>
        </w:tc>
      </w:tr>
      <w:tr>
        <w:tc>
          <w:tcPr>
            <w:tcW w:type="dxa" w:w="2041"/>
            <w:shd w:val="clear" w:color="auto" w:fill="F3F1FB"/>
          </w:tcPr>
          <w:p>
            <w:r/>
            <w:r>
              <w:rPr>
                <w:b/>
                <w:sz w:val="20"/>
              </w:rPr>
              <w:t>Resultado obtenido</w:t>
            </w:r>
          </w:p>
        </w:tc>
        <w:tc>
          <w:tcPr>
            <w:tcW w:type="dxa" w:w="7313"/>
          </w:tcPr>
          <w:p>
            <w:r/>
            <w:r>
              <w:rPr>
                <w:b w:val="0"/>
                <w:sz w:val="20"/>
              </w:rPr>
              <w:t>Aviso «»; el listado muestra el período vigente hasta el 02-10-2026 y el nuevo desde el 03-10-2026.</w:t>
            </w:r>
          </w:p>
        </w:tc>
      </w:tr>
      <w:tr>
        <w:tc>
          <w:tcPr>
            <w:tcW w:type="dxa" w:w="2041"/>
            <w:shd w:val="clear" w:color="auto" w:fill="F3F1FB"/>
          </w:tcPr>
          <w:p>
            <w:r/>
            <w:r>
              <w:rPr>
                <w:b/>
                <w:sz w:val="20"/>
              </w:rPr>
              <w:t>Fecha</w:t>
            </w:r>
          </w:p>
        </w:tc>
        <w:tc>
          <w:tcPr>
            <w:tcW w:type="dxa" w:w="7313"/>
          </w:tcPr>
          <w:p>
            <w:r/>
            <w:r>
              <w:rPr>
                <w:b w:val="0"/>
                <w:sz w:val="20"/>
              </w:rPr>
              <w:t>15-09-2026 00:27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497689"/>
            <wp:docPr id="19" name="Picture 19"/>
            <wp:cNvGraphicFramePr>
              <a:graphicFrameLocks noChangeAspect="1"/>
            </wp:cNvGraphicFramePr>
            <a:graphic>
              <a:graphicData uri="http://schemas.openxmlformats.org/drawingml/2006/picture">
                <pic:pic>
                  <pic:nvPicPr>
                    <pic:cNvPr id="0" name="hu191_2_modal_emitir.png"/>
                    <pic:cNvPicPr/>
                  </pic:nvPicPr>
                  <pic:blipFill>
                    <a:blip r:embed="rId26"/>
                    <a:stretch>
                      <a:fillRect/>
                    </a:stretch>
                  </pic:blipFill>
                  <pic:spPr>
                    <a:xfrm>
                      <a:off x="0" y="0"/>
                      <a:ext cx="5940000" cy="3497689"/>
                    </a:xfrm>
                    <a:prstGeom prst="rect"/>
                  </pic:spPr>
                </pic:pic>
              </a:graphicData>
            </a:graphic>
          </wp:inline>
        </w:drawing>
      </w:r>
    </w:p>
    <w:p>
      <w:pPr>
        <w:spacing w:after="200"/>
        <w:jc w:val="center"/>
      </w:pPr>
      <w:r>
        <w:rPr>
          <w:b w:val="0"/>
          <w:i/>
          <w:color w:val="555555"/>
          <w:sz w:val="18"/>
        </w:rPr>
        <w:t>Figura 19 — HU-191 CA2 · hu191 2 modal emitir</w:t>
      </w:r>
    </w:p>
    <w:p>
      <w:pPr>
        <w:jc w:val="center"/>
      </w:pPr>
      <w:r>
        <w:drawing>
          <wp:inline xmlns:a="http://schemas.openxmlformats.org/drawingml/2006/main" xmlns:pic="http://schemas.openxmlformats.org/drawingml/2006/picture">
            <wp:extent cx="5940000" cy="3376720"/>
            <wp:docPr id="20" name="Picture 20"/>
            <wp:cNvGraphicFramePr>
              <a:graphicFrameLocks noChangeAspect="1"/>
            </wp:cNvGraphicFramePr>
            <a:graphic>
              <a:graphicData uri="http://schemas.openxmlformats.org/drawingml/2006/picture">
                <pic:pic>
                  <pic:nvPicPr>
                    <pic:cNvPr id="0" name="hu191_2_periodos.png"/>
                    <pic:cNvPicPr/>
                  </pic:nvPicPr>
                  <pic:blipFill>
                    <a:blip r:embed="rId27"/>
                    <a:stretch>
                      <a:fillRect/>
                    </a:stretch>
                  </pic:blipFill>
                  <pic:spPr>
                    <a:xfrm>
                      <a:off x="0" y="0"/>
                      <a:ext cx="5940000" cy="3376720"/>
                    </a:xfrm>
                    <a:prstGeom prst="rect"/>
                  </pic:spPr>
                </pic:pic>
              </a:graphicData>
            </a:graphic>
          </wp:inline>
        </w:drawing>
      </w:r>
    </w:p>
    <w:p>
      <w:pPr>
        <w:spacing w:after="200"/>
        <w:jc w:val="center"/>
      </w:pPr>
      <w:r>
        <w:rPr>
          <w:b w:val="0"/>
          <w:i/>
          <w:color w:val="555555"/>
          <w:sz w:val="18"/>
        </w:rPr>
        <w:t>Figura 20 — HU-191 CA2 · hu191 2 periodos</w:t>
      </w:r>
    </w:p>
    <w:p>
      <w:pPr>
        <w:pStyle w:val="Heading2"/>
      </w:pPr>
      <w:r>
        <w:t>HU-193 · Bloquear el acceso por suscripción vencida</w:t>
      </w:r>
    </w:p>
    <w:p>
      <w:pPr>
        <w:pStyle w:val="Heading3"/>
      </w:pPr>
      <w:r>
        <w:t>CA1 · Aviso anticipado de vencimiento</w:t>
      </w:r>
    </w:p>
    <w:p>
      <w:pPr>
        <w:spacing w:after="120"/>
      </w:pPr>
      <w:r>
        <w:rPr>
          <w:b w:val="0"/>
          <w:i/>
          <w:color w:val="555555"/>
          <w:sz w:val="20"/>
        </w:rPr>
        <w:t>Criterio de aceptación: Dado que faltan 15 días para el vencimiento</w:t>
        <w:br/>
        <w:t>Cuando cualquier usuario ingresa</w:t>
        <w:br/>
        <w:t>Entonces se muestra un aviso permanente con los días restantes</w:t>
        <w:br/>
        <w:t>Y el sistema funciona con normalidad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Suscripción de Hamburgo con vencimiento en 10 días › cualquier usuario entra (Rodrigo).</w:t>
            </w:r>
          </w:p>
        </w:tc>
      </w:tr>
      <w:tr>
        <w:tc>
          <w:tcPr>
            <w:tcW w:type="dxa" w:w="2041"/>
            <w:shd w:val="clear" w:color="auto" w:fill="F3F1FB"/>
          </w:tcPr>
          <w:p>
            <w:r/>
            <w:r>
              <w:rPr>
                <w:b/>
                <w:sz w:val="20"/>
              </w:rPr>
              <w:t>Resultado esperado</w:t>
            </w:r>
          </w:p>
        </w:tc>
        <w:tc>
          <w:tcPr>
            <w:tcW w:type="dxa" w:w="7313"/>
          </w:tcPr>
          <w:p>
            <w:r/>
            <w:r>
              <w:rPr>
                <w:b w:val="0"/>
                <w:sz w:val="20"/>
              </w:rPr>
              <w:t>Aviso permanente con los días restantes; el sistema funciona con normalidad.</w:t>
            </w:r>
          </w:p>
        </w:tc>
      </w:tr>
      <w:tr>
        <w:tc>
          <w:tcPr>
            <w:tcW w:type="dxa" w:w="2041"/>
            <w:shd w:val="clear" w:color="auto" w:fill="F3F1FB"/>
          </w:tcPr>
          <w:p>
            <w:r/>
            <w:r>
              <w:rPr>
                <w:b/>
                <w:sz w:val="20"/>
              </w:rPr>
              <w:t>Resultado obtenido</w:t>
            </w:r>
          </w:p>
        </w:tc>
        <w:tc>
          <w:tcPr>
            <w:tcW w:type="dxa" w:w="7313"/>
          </w:tcPr>
          <w:p>
            <w:r/>
            <w:r>
              <w:rPr>
                <w:b w:val="0"/>
                <w:sz w:val="20"/>
              </w:rPr>
              <w:t>La franja superior avisa que la suscripción vence en 10 días y todas las pantallas siguen operativas.</w:t>
            </w:r>
          </w:p>
        </w:tc>
      </w:tr>
      <w:tr>
        <w:tc>
          <w:tcPr>
            <w:tcW w:type="dxa" w:w="2041"/>
            <w:shd w:val="clear" w:color="auto" w:fill="F3F1FB"/>
          </w:tcPr>
          <w:p>
            <w:r/>
            <w:r>
              <w:rPr>
                <w:b/>
                <w:sz w:val="20"/>
              </w:rPr>
              <w:t>Fecha</w:t>
            </w:r>
          </w:p>
        </w:tc>
        <w:tc>
          <w:tcPr>
            <w:tcW w:type="dxa" w:w="7313"/>
          </w:tcPr>
          <w:p>
            <w:r/>
            <w:r>
              <w:rPr>
                <w:b w:val="0"/>
                <w:sz w:val="20"/>
              </w:rPr>
              <w:t>14-09-2026 23:49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1" name="Picture 21"/>
            <wp:cNvGraphicFramePr>
              <a:graphicFrameLocks noChangeAspect="1"/>
            </wp:cNvGraphicFramePr>
            <a:graphic>
              <a:graphicData uri="http://schemas.openxmlformats.org/drawingml/2006/picture">
                <pic:pic>
                  <pic:nvPicPr>
                    <pic:cNvPr id="0" name="hu193_1_aviso_anticipado.png"/>
                    <pic:cNvPicPr/>
                  </pic:nvPicPr>
                  <pic:blipFill>
                    <a:blip r:embed="rId28"/>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21 — HU-193 CA1 · hu193 1 aviso anticipado</w:t>
      </w:r>
    </w:p>
    <w:p>
      <w:pPr>
        <w:pStyle w:val="Heading3"/>
      </w:pPr>
      <w:r>
        <w:t>CA2 · Período de gracia</w:t>
      </w:r>
    </w:p>
    <w:p>
      <w:pPr>
        <w:spacing w:after="120"/>
      </w:pPr>
      <w:r>
        <w:rPr>
          <w:b w:val="0"/>
          <w:i/>
          <w:color w:val="555555"/>
          <w:sz w:val="20"/>
        </w:rPr>
        <w:t>Criterio de aceptación: Dado que la suscripción venció y el periodo de gracia sigue vigente</w:t>
        <w:br/>
        <w:t>Entonces el sistema funciona con normalidad y el aviso se intensifica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Suscripción vencida hace 2 días con 10 días de gracia › Rodrigo entra y abre Órdenes de trabajo.</w:t>
            </w:r>
          </w:p>
        </w:tc>
      </w:tr>
      <w:tr>
        <w:tc>
          <w:tcPr>
            <w:tcW w:type="dxa" w:w="2041"/>
            <w:shd w:val="clear" w:color="auto" w:fill="F3F1FB"/>
          </w:tcPr>
          <w:p>
            <w:r/>
            <w:r>
              <w:rPr>
                <w:b/>
                <w:sz w:val="20"/>
              </w:rPr>
              <w:t>Resultado esperado</w:t>
            </w:r>
          </w:p>
        </w:tc>
        <w:tc>
          <w:tcPr>
            <w:tcW w:type="dxa" w:w="7313"/>
          </w:tcPr>
          <w:p>
            <w:r/>
            <w:r>
              <w:rPr>
                <w:b w:val="0"/>
                <w:sz w:val="20"/>
              </w:rPr>
              <w:t>El sistema funciona con normalidad y el aviso se intensifica.</w:t>
            </w:r>
          </w:p>
        </w:tc>
      </w:tr>
      <w:tr>
        <w:tc>
          <w:tcPr>
            <w:tcW w:type="dxa" w:w="2041"/>
            <w:shd w:val="clear" w:color="auto" w:fill="F3F1FB"/>
          </w:tcPr>
          <w:p>
            <w:r/>
            <w:r>
              <w:rPr>
                <w:b/>
                <w:sz w:val="20"/>
              </w:rPr>
              <w:t>Resultado obtenido</w:t>
            </w:r>
          </w:p>
        </w:tc>
        <w:tc>
          <w:tcPr>
            <w:tcW w:type="dxa" w:w="7313"/>
          </w:tcPr>
          <w:p>
            <w:r/>
            <w:r>
              <w:rPr>
                <w:b w:val="0"/>
                <w:sz w:val="20"/>
              </w:rPr>
              <w:t>La franja pasa a rojo: «venció … y estás en período de gracia»; las pantallas siguen operativas.</w:t>
            </w:r>
          </w:p>
        </w:tc>
      </w:tr>
      <w:tr>
        <w:tc>
          <w:tcPr>
            <w:tcW w:type="dxa" w:w="2041"/>
            <w:shd w:val="clear" w:color="auto" w:fill="F3F1FB"/>
          </w:tcPr>
          <w:p>
            <w:r/>
            <w:r>
              <w:rPr>
                <w:b/>
                <w:sz w:val="20"/>
              </w:rPr>
              <w:t>Fecha</w:t>
            </w:r>
          </w:p>
        </w:tc>
        <w:tc>
          <w:tcPr>
            <w:tcW w:type="dxa" w:w="7313"/>
          </w:tcPr>
          <w:p>
            <w:r/>
            <w:r>
              <w:rPr>
                <w:b w:val="0"/>
                <w:sz w:val="20"/>
              </w:rPr>
              <w:t>14-09-2026 23:49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2" name="Picture 22"/>
            <wp:cNvGraphicFramePr>
              <a:graphicFrameLocks noChangeAspect="1"/>
            </wp:cNvGraphicFramePr>
            <a:graphic>
              <a:graphicData uri="http://schemas.openxmlformats.org/drawingml/2006/picture">
                <pic:pic>
                  <pic:nvPicPr>
                    <pic:cNvPr id="0" name="hu193_2_periodo_gracia.png"/>
                    <pic:cNvPicPr/>
                  </pic:nvPicPr>
                  <pic:blipFill>
                    <a:blip r:embed="rId2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22 — HU-193 CA2 · hu193 2 periodo gracia</w:t>
      </w:r>
    </w:p>
    <w:p>
      <w:pPr>
        <w:pStyle w:val="Heading3"/>
      </w:pPr>
      <w:r>
        <w:t>CA3 · Bloqueo con suscripción y gracia vencidas</w:t>
      </w:r>
    </w:p>
    <w:p>
      <w:pPr>
        <w:spacing w:after="120"/>
      </w:pPr>
      <w:r>
        <w:rPr>
          <w:b w:val="0"/>
          <w:i/>
          <w:color w:val="555555"/>
          <w:sz w:val="20"/>
        </w:rPr>
        <w:t>Criterio de aceptación: Dado que vencieron la suscripción y el periodo de gracia</w:t>
        <w:br/>
        <w:t>Cuando un usuario ingresa</w:t>
        <w:br/>
        <w:t>Entonces solo puede acceder a la pantalla de renovación</w:t>
        <w:br/>
        <w:t>Y ningún dato del cliente se elimina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Suscripción vencida hace 20 días (gracia 10) › Rodrigo (jefe) inicia sesión; Marcela (administradora) inicia sesión e intenta abrir Órdenes de trabajo.</w:t>
            </w:r>
          </w:p>
        </w:tc>
      </w:tr>
      <w:tr>
        <w:tc>
          <w:tcPr>
            <w:tcW w:type="dxa" w:w="2041"/>
            <w:shd w:val="clear" w:color="auto" w:fill="F3F1FB"/>
          </w:tcPr>
          <w:p>
            <w:r/>
            <w:r>
              <w:rPr>
                <w:b/>
                <w:sz w:val="20"/>
              </w:rPr>
              <w:t>Resultado esperado</w:t>
            </w:r>
          </w:p>
        </w:tc>
        <w:tc>
          <w:tcPr>
            <w:tcW w:type="dxa" w:w="7313"/>
          </w:tcPr>
          <w:p>
            <w:r/>
            <w:r>
              <w:rPr>
                <w:b w:val="0"/>
                <w:sz w:val="20"/>
              </w:rPr>
              <w:t>Solo puede accederse a la pantalla de renovación; ningún dato se elimina.</w:t>
            </w:r>
          </w:p>
        </w:tc>
      </w:tr>
      <w:tr>
        <w:tc>
          <w:tcPr>
            <w:tcW w:type="dxa" w:w="2041"/>
            <w:shd w:val="clear" w:color="auto" w:fill="F3F1FB"/>
          </w:tcPr>
          <w:p>
            <w:r/>
            <w:r>
              <w:rPr>
                <w:b/>
                <w:sz w:val="20"/>
              </w:rPr>
              <w:t>Resultado obtenido</w:t>
            </w:r>
          </w:p>
        </w:tc>
        <w:tc>
          <w:tcPr>
            <w:tcW w:type="dxa" w:w="7313"/>
          </w:tcPr>
          <w:p>
            <w:r/>
            <w:r>
              <w:rPr>
                <w:b w:val="0"/>
                <w:sz w:val="20"/>
              </w:rPr>
              <w:t>Rodrigo (jefe) no entra: el login responde «La suscripción de tu empresa no está vigente. Contacta al administrador de tu empresa para regularizarla». Marcela (administradora) entra y la compuerta la deja en Renovar.aspx («Mi suscripción · VENCIDA», con el uso del plan y el saldo). Al restaurar la vigencia todo vuelve: ningún dato se tocó.</w:t>
            </w:r>
          </w:p>
        </w:tc>
      </w:tr>
      <w:tr>
        <w:tc>
          <w:tcPr>
            <w:tcW w:type="dxa" w:w="2041"/>
            <w:shd w:val="clear" w:color="auto" w:fill="F3F1FB"/>
          </w:tcPr>
          <w:p>
            <w:r/>
            <w:r>
              <w:rPr>
                <w:b/>
                <w:sz w:val="20"/>
              </w:rPr>
              <w:t>Fecha</w:t>
            </w:r>
          </w:p>
        </w:tc>
        <w:tc>
          <w:tcPr>
            <w:tcW w:type="dxa" w:w="7313"/>
          </w:tcPr>
          <w:p>
            <w:r/>
            <w:r>
              <w:rPr>
                <w:b w:val="0"/>
                <w:sz w:val="20"/>
              </w:rPr>
              <w:t>14-09-2026 23:50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3" name="Picture 23"/>
            <wp:cNvGraphicFramePr>
              <a:graphicFrameLocks noChangeAspect="1"/>
            </wp:cNvGraphicFramePr>
            <a:graphic>
              <a:graphicData uri="http://schemas.openxmlformats.org/drawingml/2006/picture">
                <pic:pic>
                  <pic:nvPicPr>
                    <pic:cNvPr id="0" name="hu193_3_bloqueo_rodrigo.png"/>
                    <pic:cNvPicPr/>
                  </pic:nvPicPr>
                  <pic:blipFill>
                    <a:blip r:embed="rId3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23 — HU-193 CA3 · hu193 3 bloqueo rodrigo</w:t>
      </w:r>
    </w:p>
    <w:p>
      <w:pPr>
        <w:jc w:val="center"/>
      </w:pPr>
      <w:r>
        <w:drawing>
          <wp:inline xmlns:a="http://schemas.openxmlformats.org/drawingml/2006/main" xmlns:pic="http://schemas.openxmlformats.org/drawingml/2006/picture">
            <wp:extent cx="5940000" cy="3214639"/>
            <wp:docPr id="24" name="Picture 24"/>
            <wp:cNvGraphicFramePr>
              <a:graphicFrameLocks noChangeAspect="1"/>
            </wp:cNvGraphicFramePr>
            <a:graphic>
              <a:graphicData uri="http://schemas.openxmlformats.org/drawingml/2006/picture">
                <pic:pic>
                  <pic:nvPicPr>
                    <pic:cNvPr id="0" name="hu193_3_bloqueo_marcela.png"/>
                    <pic:cNvPicPr/>
                  </pic:nvPicPr>
                  <pic:blipFill>
                    <a:blip r:embed="rId3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24 — HU-193 CA3 · hu193 3 bloqueo marcela</w:t>
      </w:r>
    </w:p>
    <w:p>
      <w:pPr>
        <w:pStyle w:val="Heading3"/>
      </w:pPr>
      <w:r>
        <w:t>CA4 · Trabajo en curso en terreno (app)</w:t>
      </w:r>
    </w:p>
    <w:p>
      <w:pPr>
        <w:spacing w:after="120"/>
      </w:pPr>
      <w:r>
        <w:rPr>
          <w:b w:val="0"/>
          <w:i/>
          <w:color w:val="555555"/>
          <w:sz w:val="20"/>
        </w:rPr>
        <w:t>Criterio de aceptación: Dado que la suscripción se bloquea mientras un técnico está en terreno</w:t>
        <w:br/>
        <w:t>Entonces puede terminar y sincronizar el trabajo ya iniciado</w:t>
        <w:br/>
        <w:t>Y no puede tomar trabajo nuevo</w:t>
        <w:br/>
        <w:t>Que la aplicación permita terminar lo comenzado evita que un técnico a mitad de un trabajo en altura quede sin poder registrar lo que hizo por una situación administrativa.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App/API</w:t>
            </w:r>
          </w:p>
        </w:tc>
      </w:tr>
      <w:tr>
        <w:tc>
          <w:tcPr>
            <w:tcW w:type="dxa" w:w="2041"/>
            <w:shd w:val="clear" w:color="auto" w:fill="F3F1FB"/>
          </w:tcPr>
          <w:p>
            <w:r/>
            <w:r>
              <w:rPr>
                <w:b/>
                <w:sz w:val="20"/>
              </w:rPr>
              <w:t>Pasos</w:t>
            </w:r>
          </w:p>
        </w:tc>
        <w:tc>
          <w:tcPr>
            <w:tcW w:type="dxa" w:w="7313"/>
          </w:tcPr>
          <w:p>
            <w:r/>
            <w:r>
              <w:rPr>
                <w:b w:val="0"/>
                <w:sz w:val="20"/>
              </w:rPr>
              <w:t>Con la suscripción bloqueada, el técnico termina y sincroniza lo iniciado pero no toma trabajo nuevo.</w:t>
            </w:r>
          </w:p>
        </w:tc>
      </w:tr>
      <w:tr>
        <w:tc>
          <w:tcPr>
            <w:tcW w:type="dxa" w:w="2041"/>
            <w:shd w:val="clear" w:color="auto" w:fill="F3F1FB"/>
          </w:tcPr>
          <w:p>
            <w:r/>
            <w:r>
              <w:rPr>
                <w:b/>
                <w:sz w:val="20"/>
              </w:rPr>
              <w:t>Resultado esperado</w:t>
            </w:r>
          </w:p>
        </w:tc>
        <w:tc>
          <w:tcPr>
            <w:tcW w:type="dxa" w:w="7313"/>
          </w:tcPr>
          <w:p>
            <w:r/>
            <w:r>
              <w:rPr>
                <w:b w:val="0"/>
                <w:sz w:val="20"/>
              </w:rPr>
              <w:t>Puede sincronizar lo iniciado; no puede tomar trabajo nuevo.</w:t>
            </w:r>
          </w:p>
        </w:tc>
      </w:tr>
      <w:tr>
        <w:tc>
          <w:tcPr>
            <w:tcW w:type="dxa" w:w="2041"/>
            <w:shd w:val="clear" w:color="auto" w:fill="F3F1FB"/>
          </w:tcPr>
          <w:p>
            <w:r/>
            <w:r>
              <w:rPr>
                <w:b/>
                <w:sz w:val="20"/>
              </w:rPr>
              <w:t>Resultado obtenido</w:t>
            </w:r>
          </w:p>
        </w:tc>
        <w:tc>
          <w:tcPr>
            <w:tcW w:type="dxa" w:w="7313"/>
          </w:tcPr>
          <w:p>
            <w:r/>
            <w:r>
              <w:rPr>
                <w:b w:val="0"/>
                <w:sz w:val="20"/>
              </w:rPr>
              <w:t>La API responde 402 por FNC_SUSCRIPCION_VIGENTE en las rutas que toman trabajo nuevo; la cola de la app conserva lo capturado. No se ejercitó en esta corrida (requiere la app en el teléfono).</w:t>
            </w:r>
          </w:p>
        </w:tc>
      </w:tr>
      <w:tr>
        <w:tc>
          <w:tcPr>
            <w:tcW w:type="dxa" w:w="2041"/>
            <w:shd w:val="clear" w:color="auto" w:fill="F3F1FB"/>
          </w:tcPr>
          <w:p>
            <w:r/>
            <w:r>
              <w:rPr>
                <w:b/>
                <w:sz w:val="20"/>
              </w:rPr>
              <w:t>Fecha</w:t>
            </w:r>
          </w:p>
        </w:tc>
        <w:tc>
          <w:tcPr>
            <w:tcW w:type="dxa" w:w="7313"/>
          </w:tcPr>
          <w:p>
            <w:r/>
            <w:r>
              <w:rPr>
                <w:b w:val="0"/>
                <w:sz w:val="20"/>
              </w:rPr>
              <w:t>14-09-2026 23:50</w:t>
            </w:r>
          </w:p>
        </w:tc>
      </w:tr>
      <w:tr>
        <w:tc>
          <w:tcPr>
            <w:tcW w:type="dxa" w:w="2041"/>
            <w:shd w:val="clear" w:color="auto" w:fill="F3F1FB"/>
          </w:tcPr>
          <w:p>
            <w:r/>
            <w:r>
              <w:rPr>
                <w:b/>
                <w:sz w:val="20"/>
              </w:rPr>
              <w:t>Veredicto</w:t>
            </w:r>
          </w:p>
        </w:tc>
        <w:tc>
          <w:tcPr>
            <w:tcW w:type="dxa" w:w="7313"/>
          </w:tcPr>
          <w:p>
            <w:r/>
            <w:r>
              <w:rPr>
                <w:b/>
                <w:color w:val="B02A2A"/>
                <w:sz w:val="20"/>
              </w:rPr>
              <w:t>NO CUMPLE / PENDIENTE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Defecto corregido: la compuerta de suscripción rebotaba a la cuenta de plataforma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Catalina (Root) elige el cliente CCU —recién contratado, sin período emitido— y abre Comercial › Períodos.</w:t>
            </w:r>
          </w:p>
        </w:tc>
      </w:tr>
      <w:tr>
        <w:tc>
          <w:tcPr>
            <w:tcW w:type="dxa" w:w="2041"/>
            <w:shd w:val="clear" w:color="auto" w:fill="F3F1FB"/>
          </w:tcPr>
          <w:p>
            <w:r/>
            <w:r>
              <w:rPr>
                <w:b/>
                <w:sz w:val="20"/>
              </w:rPr>
              <w:t>Resultado esperado</w:t>
            </w:r>
          </w:p>
        </w:tc>
        <w:tc>
          <w:tcPr>
            <w:tcW w:type="dxa" w:w="7313"/>
          </w:tcPr>
          <w:p>
            <w:r/>
            <w:r>
              <w:rPr>
                <w:b w:val="0"/>
                <w:sz w:val="20"/>
              </w:rPr>
              <w:t>La cuenta de plataforma debe poder trabajar la suscripción de un cliente vencido (contratar, emitir el período, verificar el pago).</w:t>
            </w:r>
          </w:p>
        </w:tc>
      </w:tr>
      <w:tr>
        <w:tc>
          <w:tcPr>
            <w:tcW w:type="dxa" w:w="2041"/>
            <w:shd w:val="clear" w:color="auto" w:fill="F3F1FB"/>
          </w:tcPr>
          <w:p>
            <w:r/>
            <w:r>
              <w:rPr>
                <w:b/>
                <w:sz w:val="20"/>
              </w:rPr>
              <w:t>Resultado obtenido</w:t>
            </w:r>
          </w:p>
        </w:tc>
        <w:tc>
          <w:tcPr>
            <w:tcW w:type="dxa" w:w="7313"/>
          </w:tcPr>
          <w:p>
            <w:r/>
            <w:r>
              <w:rPr>
                <w:b w:val="0"/>
                <w:sz w:val="20"/>
              </w:rPr>
              <w:t>Antes: SuscripcionAcceso.Exigir la mandaba a Renovar.aspx (captura hu193_defecto_root_rebotado), así que nadie podía emitirle el primer período a CCU. Corrección: la compuerta no se aplica a perfiles de tipo Sistema (Root, Gerente Comercial); el bloqueo es para el cliente. Reprobado: Períodos de CCU abre con normalidad.</w:t>
            </w:r>
          </w:p>
        </w:tc>
      </w:tr>
      <w:tr>
        <w:tc>
          <w:tcPr>
            <w:tcW w:type="dxa" w:w="2041"/>
            <w:shd w:val="clear" w:color="auto" w:fill="F3F1FB"/>
          </w:tcPr>
          <w:p>
            <w:r/>
            <w:r>
              <w:rPr>
                <w:b/>
                <w:sz w:val="20"/>
              </w:rPr>
              <w:t>Fecha</w:t>
            </w:r>
          </w:p>
        </w:tc>
        <w:tc>
          <w:tcPr>
            <w:tcW w:type="dxa" w:w="7313"/>
          </w:tcPr>
          <w:p>
            <w:r/>
            <w:r>
              <w:rPr>
                <w:b w:val="0"/>
                <w:sz w:val="20"/>
              </w:rPr>
              <w:t>15-09-2026 00:26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623026"/>
            <wp:docPr id="25" name="Picture 25"/>
            <wp:cNvGraphicFramePr>
              <a:graphicFrameLocks noChangeAspect="1"/>
            </wp:cNvGraphicFramePr>
            <a:graphic>
              <a:graphicData uri="http://schemas.openxmlformats.org/drawingml/2006/picture">
                <pic:pic>
                  <pic:nvPicPr>
                    <pic:cNvPr id="0" name="hu193_defecto_root_rebotado.png"/>
                    <pic:cNvPicPr/>
                  </pic:nvPicPr>
                  <pic:blipFill>
                    <a:blip r:embed="rId32"/>
                    <a:stretch>
                      <a:fillRect/>
                    </a:stretch>
                  </pic:blipFill>
                  <pic:spPr>
                    <a:xfrm>
                      <a:off x="0" y="0"/>
                      <a:ext cx="5940000" cy="5623026"/>
                    </a:xfrm>
                    <a:prstGeom prst="rect"/>
                  </pic:spPr>
                </pic:pic>
              </a:graphicData>
            </a:graphic>
          </wp:inline>
        </w:drawing>
      </w:r>
    </w:p>
    <w:p>
      <w:pPr>
        <w:spacing w:after="200"/>
        <w:jc w:val="center"/>
      </w:pPr>
      <w:r>
        <w:rPr>
          <w:b w:val="0"/>
          <w:i/>
          <w:color w:val="555555"/>
          <w:sz w:val="18"/>
        </w:rPr>
        <w:t>Figura 25 — HU-193 CA3 · hu193 defecto root rebotado</w:t>
      </w:r>
    </w:p>
    <w:p>
      <w:pPr>
        <w:jc w:val="center"/>
      </w:pPr>
      <w:r>
        <w:drawing>
          <wp:inline xmlns:a="http://schemas.openxmlformats.org/drawingml/2006/main" xmlns:pic="http://schemas.openxmlformats.org/drawingml/2006/picture">
            <wp:extent cx="5940000" cy="2951553"/>
            <wp:docPr id="26" name="Picture 26"/>
            <wp:cNvGraphicFramePr>
              <a:graphicFrameLocks noChangeAspect="1"/>
            </wp:cNvGraphicFramePr>
            <a:graphic>
              <a:graphicData uri="http://schemas.openxmlformats.org/drawingml/2006/picture">
                <pic:pic>
                  <pic:nvPicPr>
                    <pic:cNvPr id="0" name="hu193_defecto_root_corregido.png"/>
                    <pic:cNvPicPr/>
                  </pic:nvPicPr>
                  <pic:blipFill>
                    <a:blip r:embed="rId33"/>
                    <a:stretch>
                      <a:fillRect/>
                    </a:stretch>
                  </pic:blipFill>
                  <pic:spPr>
                    <a:xfrm>
                      <a:off x="0" y="0"/>
                      <a:ext cx="5940000" cy="2951553"/>
                    </a:xfrm>
                    <a:prstGeom prst="rect"/>
                  </pic:spPr>
                </pic:pic>
              </a:graphicData>
            </a:graphic>
          </wp:inline>
        </w:drawing>
      </w:r>
    </w:p>
    <w:p>
      <w:pPr>
        <w:spacing w:after="200"/>
        <w:jc w:val="center"/>
      </w:pPr>
      <w:r>
        <w:rPr>
          <w:b w:val="0"/>
          <w:i/>
          <w:color w:val="555555"/>
          <w:sz w:val="18"/>
        </w:rPr>
        <w:t>Figura 26 — HU-193 CA3 · hu193 defecto root corregido</w:t>
      </w:r>
    </w:p>
    <w:p>
      <w:pPr>
        <w:pStyle w:val="Heading2"/>
      </w:pPr>
      <w:r>
        <w:t>HU-194 · Registrar el pago de una suscripción</w:t>
      </w:r>
    </w:p>
    <w:p>
      <w:pPr>
        <w:pStyle w:val="Heading3"/>
      </w:pPr>
      <w:r>
        <w:t>CA1 · Registro del pago con comprobante obligatorio</w:t>
      </w:r>
    </w:p>
    <w:p>
      <w:pPr>
        <w:spacing w:after="120"/>
      </w:pPr>
      <w:r>
        <w:rPr>
          <w:b w:val="0"/>
          <w:i/>
          <w:color w:val="555555"/>
          <w:sz w:val="20"/>
        </w:rPr>
        <w:t>Criterio de aceptación: Cuando registro un pago con su comprobante</w:t>
        <w:br/>
        <w:t>Entonces queda pendiente de validación</w:t>
        <w:br/>
        <w:t>Y el comprobante es obligatorio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Pagos › Declarar pago sin comprobante (rechazado); luego con período, monto, banco, operación y comprobante adjunto.</w:t>
            </w:r>
          </w:p>
        </w:tc>
      </w:tr>
      <w:tr>
        <w:tc>
          <w:tcPr>
            <w:tcW w:type="dxa" w:w="2041"/>
            <w:shd w:val="clear" w:color="auto" w:fill="F3F1FB"/>
          </w:tcPr>
          <w:p>
            <w:r/>
            <w:r>
              <w:rPr>
                <w:b/>
                <w:sz w:val="20"/>
              </w:rPr>
              <w:t>Resultado esperado</w:t>
            </w:r>
          </w:p>
        </w:tc>
        <w:tc>
          <w:tcPr>
            <w:tcW w:type="dxa" w:w="7313"/>
          </w:tcPr>
          <w:p>
            <w:r/>
            <w:r>
              <w:rPr>
                <w:b w:val="0"/>
                <w:sz w:val="20"/>
              </w:rPr>
              <w:t>Queda pendiente de validación y el comprobante es obligatorio.</w:t>
            </w:r>
          </w:p>
        </w:tc>
      </w:tr>
      <w:tr>
        <w:tc>
          <w:tcPr>
            <w:tcW w:type="dxa" w:w="2041"/>
            <w:shd w:val="clear" w:color="auto" w:fill="F3F1FB"/>
          </w:tcPr>
          <w:p>
            <w:r/>
            <w:r>
              <w:rPr>
                <w:b/>
                <w:sz w:val="20"/>
              </w:rPr>
              <w:t>Resultado obtenido</w:t>
            </w:r>
          </w:p>
        </w:tc>
        <w:tc>
          <w:tcPr>
            <w:tcW w:type="dxa" w:w="7313"/>
          </w:tcPr>
          <w:p>
            <w:r/>
            <w:r>
              <w:rPr>
                <w:b w:val="0"/>
                <w:sz w:val="20"/>
              </w:rPr>
              <w:t>Sin comprobante: «Debe adjuntar el comprobante de la transferencia. ACEPTAR». Con comprobante: «»; el listado muestra el pago pendiente de verificación.</w:t>
            </w:r>
          </w:p>
        </w:tc>
      </w:tr>
      <w:tr>
        <w:tc>
          <w:tcPr>
            <w:tcW w:type="dxa" w:w="2041"/>
            <w:shd w:val="clear" w:color="auto" w:fill="F3F1FB"/>
          </w:tcPr>
          <w:p>
            <w:r/>
            <w:r>
              <w:rPr>
                <w:b/>
                <w:sz w:val="20"/>
              </w:rPr>
              <w:t>Fecha</w:t>
            </w:r>
          </w:p>
        </w:tc>
        <w:tc>
          <w:tcPr>
            <w:tcW w:type="dxa" w:w="7313"/>
          </w:tcPr>
          <w:p>
            <w:r/>
            <w:r>
              <w:rPr>
                <w:b w:val="0"/>
                <w:sz w:val="20"/>
              </w:rPr>
              <w:t>15-09-2026 00:38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7" name="Picture 27"/>
            <wp:cNvGraphicFramePr>
              <a:graphicFrameLocks noChangeAspect="1"/>
            </wp:cNvGraphicFramePr>
            <a:graphic>
              <a:graphicData uri="http://schemas.openxmlformats.org/drawingml/2006/picture">
                <pic:pic>
                  <pic:nvPicPr>
                    <pic:cNvPr id="0" name="hu194_1_sin_comprobante.png"/>
                    <pic:cNvPicPr/>
                  </pic:nvPicPr>
                  <pic:blipFill>
                    <a:blip r:embed="rId3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27 — HU-194 CA1 · hu194 1 sin comprobante</w:t>
      </w:r>
    </w:p>
    <w:p>
      <w:pPr>
        <w:jc w:val="center"/>
      </w:pPr>
      <w:r>
        <w:drawing>
          <wp:inline xmlns:a="http://schemas.openxmlformats.org/drawingml/2006/main" xmlns:pic="http://schemas.openxmlformats.org/drawingml/2006/picture">
            <wp:extent cx="5940000" cy="3214639"/>
            <wp:docPr id="28" name="Picture 28"/>
            <wp:cNvGraphicFramePr>
              <a:graphicFrameLocks noChangeAspect="1"/>
            </wp:cNvGraphicFramePr>
            <a:graphic>
              <a:graphicData uri="http://schemas.openxmlformats.org/drawingml/2006/picture">
                <pic:pic>
                  <pic:nvPicPr>
                    <pic:cNvPr id="0" name="hu194_1_modal.png"/>
                    <pic:cNvPicPr/>
                  </pic:nvPicPr>
                  <pic:blipFill>
                    <a:blip r:embed="rId3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28 — HU-194 CA1 · hu194 1 modal</w:t>
      </w:r>
    </w:p>
    <w:p>
      <w:pPr>
        <w:jc w:val="center"/>
      </w:pPr>
      <w:r>
        <w:drawing>
          <wp:inline xmlns:a="http://schemas.openxmlformats.org/drawingml/2006/main" xmlns:pic="http://schemas.openxmlformats.org/drawingml/2006/picture">
            <wp:extent cx="5925978" cy="6839999"/>
            <wp:docPr id="29" name="Picture 29"/>
            <wp:cNvGraphicFramePr>
              <a:graphicFrameLocks noChangeAspect="1"/>
            </wp:cNvGraphicFramePr>
            <a:graphic>
              <a:graphicData uri="http://schemas.openxmlformats.org/drawingml/2006/picture">
                <pic:pic>
                  <pic:nvPicPr>
                    <pic:cNvPr id="0" name="hu194_1_listado.png"/>
                    <pic:cNvPicPr/>
                  </pic:nvPicPr>
                  <pic:blipFill>
                    <a:blip r:embed="rId36"/>
                    <a:stretch>
                      <a:fillRect/>
                    </a:stretch>
                  </pic:blipFill>
                  <pic:spPr>
                    <a:xfrm>
                      <a:off x="0" y="0"/>
                      <a:ext cx="5925978" cy="6839999"/>
                    </a:xfrm>
                    <a:prstGeom prst="rect"/>
                  </pic:spPr>
                </pic:pic>
              </a:graphicData>
            </a:graphic>
          </wp:inline>
        </w:drawing>
      </w:r>
    </w:p>
    <w:p>
      <w:pPr>
        <w:spacing w:after="200"/>
        <w:jc w:val="center"/>
      </w:pPr>
      <w:r>
        <w:rPr>
          <w:b w:val="0"/>
          <w:i/>
          <w:color w:val="555555"/>
          <w:sz w:val="18"/>
        </w:rPr>
        <w:t>Figura 29 — HU-194 CA1 · hu194 1 listado</w:t>
      </w:r>
    </w:p>
    <w:p>
      <w:pPr>
        <w:pStyle w:val="Heading3"/>
      </w:pPr>
      <w:r>
        <w:t>CA2 · Validación del pago reactiva la suscripción</w:t>
      </w:r>
    </w:p>
    <w:p>
      <w:pPr>
        <w:spacing w:after="120"/>
      </w:pPr>
      <w:r>
        <w:rPr>
          <w:b w:val="0"/>
          <w:i/>
          <w:color w:val="555555"/>
          <w:sz w:val="20"/>
        </w:rPr>
        <w:t>Criterio de aceptación: Cuando el administrador de SIGMA valida el pago</w:t>
        <w:br/>
        <w:t>Entonces la suscripción se reactiva y el bloqueo se levanta</w:t>
        <w:br/>
        <w:t>Y queda registrado quién validó y cuándo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Pagos › abrir TRX-778899 › monto verificado › Verificar › Suscripciones.</w:t>
            </w:r>
          </w:p>
        </w:tc>
      </w:tr>
      <w:tr>
        <w:tc>
          <w:tcPr>
            <w:tcW w:type="dxa" w:w="2041"/>
            <w:shd w:val="clear" w:color="auto" w:fill="F3F1FB"/>
          </w:tcPr>
          <w:p>
            <w:r/>
            <w:r>
              <w:rPr>
                <w:b/>
                <w:sz w:val="20"/>
              </w:rPr>
              <w:t>Resultado esperado</w:t>
            </w:r>
          </w:p>
        </w:tc>
        <w:tc>
          <w:tcPr>
            <w:tcW w:type="dxa" w:w="7313"/>
          </w:tcPr>
          <w:p>
            <w:r/>
            <w:r>
              <w:rPr>
                <w:b w:val="0"/>
                <w:sz w:val="20"/>
              </w:rPr>
              <w:t>La suscripción se reactiva, el bloqueo se levanta y queda registrado quién validó y cuándo.</w:t>
            </w:r>
          </w:p>
        </w:tc>
      </w:tr>
      <w:tr>
        <w:tc>
          <w:tcPr>
            <w:tcW w:type="dxa" w:w="2041"/>
            <w:shd w:val="clear" w:color="auto" w:fill="F3F1FB"/>
          </w:tcPr>
          <w:p>
            <w:r/>
            <w:r>
              <w:rPr>
                <w:b/>
                <w:sz w:val="20"/>
              </w:rPr>
              <w:t>Resultado obtenido</w:t>
            </w:r>
          </w:p>
        </w:tc>
        <w:tc>
          <w:tcPr>
            <w:tcW w:type="dxa" w:w="7313"/>
          </w:tcPr>
          <w:p>
            <w:r/>
            <w:r>
              <w:rPr>
                <w:b w:val="0"/>
                <w:sz w:val="20"/>
              </w:rPr>
              <w:t>Aviso «Pago verificado con éxito. ACEPTAR»; el pago queda VERIFICADO con usuario y fecha; la suscripción figura vigente.</w:t>
            </w:r>
          </w:p>
        </w:tc>
      </w:tr>
      <w:tr>
        <w:tc>
          <w:tcPr>
            <w:tcW w:type="dxa" w:w="2041"/>
            <w:shd w:val="clear" w:color="auto" w:fill="F3F1FB"/>
          </w:tcPr>
          <w:p>
            <w:r/>
            <w:r>
              <w:rPr>
                <w:b/>
                <w:sz w:val="20"/>
              </w:rPr>
              <w:t>Fecha</w:t>
            </w:r>
          </w:p>
        </w:tc>
        <w:tc>
          <w:tcPr>
            <w:tcW w:type="dxa" w:w="7313"/>
          </w:tcPr>
          <w:p>
            <w:r/>
            <w:r>
              <w:rPr>
                <w:b w:val="0"/>
                <w:sz w:val="20"/>
              </w:rPr>
              <w:t>15-09-2026 00:42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30" name="Picture 30"/>
            <wp:cNvGraphicFramePr>
              <a:graphicFrameLocks noChangeAspect="1"/>
            </wp:cNvGraphicFramePr>
            <a:graphic>
              <a:graphicData uri="http://schemas.openxmlformats.org/drawingml/2006/picture">
                <pic:pic>
                  <pic:nvPicPr>
                    <pic:cNvPr id="0" name="hu194_2_verificar.png"/>
                    <pic:cNvPicPr/>
                  </pic:nvPicPr>
                  <pic:blipFill>
                    <a:blip r:embed="rId3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30 — HU-194 CA2 · hu194 2 verificar</w:t>
      </w:r>
    </w:p>
    <w:p>
      <w:pPr>
        <w:jc w:val="center"/>
      </w:pPr>
      <w:r>
        <w:drawing>
          <wp:inline xmlns:a="http://schemas.openxmlformats.org/drawingml/2006/main" xmlns:pic="http://schemas.openxmlformats.org/drawingml/2006/picture">
            <wp:extent cx="5940000" cy="3421579"/>
            <wp:docPr id="31" name="Picture 31"/>
            <wp:cNvGraphicFramePr>
              <a:graphicFrameLocks noChangeAspect="1"/>
            </wp:cNvGraphicFramePr>
            <a:graphic>
              <a:graphicData uri="http://schemas.openxmlformats.org/drawingml/2006/picture">
                <pic:pic>
                  <pic:nvPicPr>
                    <pic:cNvPr id="0" name="hu194_2_verificado.png"/>
                    <pic:cNvPicPr/>
                  </pic:nvPicPr>
                  <pic:blipFill>
                    <a:blip r:embed="rId38"/>
                    <a:stretch>
                      <a:fillRect/>
                    </a:stretch>
                  </pic:blipFill>
                  <pic:spPr>
                    <a:xfrm>
                      <a:off x="0" y="0"/>
                      <a:ext cx="5940000" cy="3421579"/>
                    </a:xfrm>
                    <a:prstGeom prst="rect"/>
                  </pic:spPr>
                </pic:pic>
              </a:graphicData>
            </a:graphic>
          </wp:inline>
        </w:drawing>
      </w:r>
    </w:p>
    <w:p>
      <w:pPr>
        <w:spacing w:after="200"/>
        <w:jc w:val="center"/>
      </w:pPr>
      <w:r>
        <w:rPr>
          <w:b w:val="0"/>
          <w:i/>
          <w:color w:val="555555"/>
          <w:sz w:val="18"/>
        </w:rPr>
        <w:t>Figura 31 — HU-194 CA2 · hu194 2 verificado</w:t>
      </w:r>
    </w:p>
    <w:p>
      <w:pPr>
        <w:jc w:val="center"/>
      </w:pPr>
      <w:r>
        <w:drawing>
          <wp:inline xmlns:a="http://schemas.openxmlformats.org/drawingml/2006/main" xmlns:pic="http://schemas.openxmlformats.org/drawingml/2006/picture">
            <wp:extent cx="5940000" cy="3252237"/>
            <wp:docPr id="32" name="Picture 32"/>
            <wp:cNvGraphicFramePr>
              <a:graphicFrameLocks noChangeAspect="1"/>
            </wp:cNvGraphicFramePr>
            <a:graphic>
              <a:graphicData uri="http://schemas.openxmlformats.org/drawingml/2006/picture">
                <pic:pic>
                  <pic:nvPicPr>
                    <pic:cNvPr id="0" name="hu194_2_suscripcion.png"/>
                    <pic:cNvPicPr/>
                  </pic:nvPicPr>
                  <pic:blipFill>
                    <a:blip r:embed="rId39"/>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32 — HU-194 CA2 · hu194 2 suscripcion</w:t>
      </w:r>
    </w:p>
    <w:p>
      <w:pPr>
        <w:pStyle w:val="Heading3"/>
      </w:pPr>
      <w:r>
        <w:t>CA3 · Pago rechazado con motivo</w:t>
      </w:r>
    </w:p>
    <w:p>
      <w:pPr>
        <w:spacing w:after="120"/>
      </w:pPr>
      <w:r>
        <w:rPr>
          <w:b w:val="0"/>
          <w:i/>
          <w:color w:val="555555"/>
          <w:sz w:val="20"/>
        </w:rPr>
        <w:t>Criterio de aceptación: Cuando el pago se rechaza</w:t>
        <w:br/>
        <w:t>Entonces se exige un motivo</w:t>
        <w:br/>
        <w:t>Y el cliente puede registrar un pago nuevo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Pagos › abrir el pago TRX-778812 › Rechazar sin motivo (rechazado); luego con motivo.</w:t>
            </w:r>
          </w:p>
        </w:tc>
      </w:tr>
      <w:tr>
        <w:tc>
          <w:tcPr>
            <w:tcW w:type="dxa" w:w="2041"/>
            <w:shd w:val="clear" w:color="auto" w:fill="F3F1FB"/>
          </w:tcPr>
          <w:p>
            <w:r/>
            <w:r>
              <w:rPr>
                <w:b/>
                <w:sz w:val="20"/>
              </w:rPr>
              <w:t>Resultado esperado</w:t>
            </w:r>
          </w:p>
        </w:tc>
        <w:tc>
          <w:tcPr>
            <w:tcW w:type="dxa" w:w="7313"/>
          </w:tcPr>
          <w:p>
            <w:r/>
            <w:r>
              <w:rPr>
                <w:b w:val="0"/>
                <w:sz w:val="20"/>
              </w:rPr>
              <w:t>Se exige un motivo y el cliente puede registrar un pago nuevo.</w:t>
            </w:r>
          </w:p>
        </w:tc>
      </w:tr>
      <w:tr>
        <w:tc>
          <w:tcPr>
            <w:tcW w:type="dxa" w:w="2041"/>
            <w:shd w:val="clear" w:color="auto" w:fill="F3F1FB"/>
          </w:tcPr>
          <w:p>
            <w:r/>
            <w:r>
              <w:rPr>
                <w:b/>
                <w:sz w:val="20"/>
              </w:rPr>
              <w:t>Resultado obtenido</w:t>
            </w:r>
          </w:p>
        </w:tc>
        <w:tc>
          <w:tcPr>
            <w:tcW w:type="dxa" w:w="7313"/>
          </w:tcPr>
          <w:p>
            <w:r/>
            <w:r>
              <w:rPr>
                <w:b w:val="0"/>
                <w:sz w:val="20"/>
              </w:rPr>
              <w:t>Sin motivo: «Indique el motivo del rechazo. ACEPTAR». Con motivo: «Pago rechazado. ACEPTAR»; el pago queda RECHAZADO con su motivo y el período sigue impago para volver a declarar.</w:t>
            </w:r>
          </w:p>
        </w:tc>
      </w:tr>
      <w:tr>
        <w:tc>
          <w:tcPr>
            <w:tcW w:type="dxa" w:w="2041"/>
            <w:shd w:val="clear" w:color="auto" w:fill="F3F1FB"/>
          </w:tcPr>
          <w:p>
            <w:r/>
            <w:r>
              <w:rPr>
                <w:b/>
                <w:sz w:val="20"/>
              </w:rPr>
              <w:t>Fecha</w:t>
            </w:r>
          </w:p>
        </w:tc>
        <w:tc>
          <w:tcPr>
            <w:tcW w:type="dxa" w:w="7313"/>
          </w:tcPr>
          <w:p>
            <w:r/>
            <w:r>
              <w:rPr>
                <w:b w:val="0"/>
                <w:sz w:val="20"/>
              </w:rPr>
              <w:t>15-09-2026 00:40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33" name="Picture 33"/>
            <wp:cNvGraphicFramePr>
              <a:graphicFrameLocks noChangeAspect="1"/>
            </wp:cNvGraphicFramePr>
            <a:graphic>
              <a:graphicData uri="http://schemas.openxmlformats.org/drawingml/2006/picture">
                <pic:pic>
                  <pic:nvPicPr>
                    <pic:cNvPr id="0" name="hu194_3_sin_motivo.png"/>
                    <pic:cNvPicPr/>
                  </pic:nvPicPr>
                  <pic:blipFill>
                    <a:blip r:embed="rId4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33 — HU-194 CA3 · hu194 3 sin motivo</w:t>
      </w:r>
    </w:p>
    <w:p>
      <w:pPr>
        <w:jc w:val="center"/>
      </w:pPr>
      <w:r>
        <w:drawing>
          <wp:inline xmlns:a="http://schemas.openxmlformats.org/drawingml/2006/main" xmlns:pic="http://schemas.openxmlformats.org/drawingml/2006/picture">
            <wp:extent cx="5940000" cy="3165395"/>
            <wp:docPr id="34" name="Picture 34"/>
            <wp:cNvGraphicFramePr>
              <a:graphicFrameLocks noChangeAspect="1"/>
            </wp:cNvGraphicFramePr>
            <a:graphic>
              <a:graphicData uri="http://schemas.openxmlformats.org/drawingml/2006/picture">
                <pic:pic>
                  <pic:nvPicPr>
                    <pic:cNvPr id="0" name="hu194_3_rechazado.png"/>
                    <pic:cNvPicPr/>
                  </pic:nvPicPr>
                  <pic:blipFill>
                    <a:blip r:embed="rId41"/>
                    <a:stretch>
                      <a:fillRect/>
                    </a:stretch>
                  </pic:blipFill>
                  <pic:spPr>
                    <a:xfrm>
                      <a:off x="0" y="0"/>
                      <a:ext cx="5940000" cy="3165395"/>
                    </a:xfrm>
                    <a:prstGeom prst="rect"/>
                  </pic:spPr>
                </pic:pic>
              </a:graphicData>
            </a:graphic>
          </wp:inline>
        </w:drawing>
      </w:r>
    </w:p>
    <w:p>
      <w:pPr>
        <w:spacing w:after="200"/>
        <w:jc w:val="center"/>
      </w:pPr>
      <w:r>
        <w:rPr>
          <w:b w:val="0"/>
          <w:i/>
          <w:color w:val="555555"/>
          <w:sz w:val="18"/>
        </w:rPr>
        <w:t>Figura 34 — HU-194 CA3 · hu194 3 rechazado</w:t>
      </w:r>
    </w:p>
    <w:p>
      <w:pPr>
        <w:pStyle w:val="Heading3"/>
      </w:pPr>
      <w:r>
        <w:t>CA1 · Defecto corregido: «Declarar pago» no abría nada en Mi suscripción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Marcela (administradora de Hamburgo) › Mi suscripción › Declarar pago.</w:t>
            </w:r>
          </w:p>
        </w:tc>
      </w:tr>
      <w:tr>
        <w:tc>
          <w:tcPr>
            <w:tcW w:type="dxa" w:w="2041"/>
            <w:shd w:val="clear" w:color="auto" w:fill="F3F1FB"/>
          </w:tcPr>
          <w:p>
            <w:r/>
            <w:r>
              <w:rPr>
                <w:b/>
                <w:sz w:val="20"/>
              </w:rPr>
              <w:t>Resultado esperado</w:t>
            </w:r>
          </w:p>
        </w:tc>
        <w:tc>
          <w:tcPr>
            <w:tcW w:type="dxa" w:w="7313"/>
          </w:tcPr>
          <w:p>
            <w:r/>
            <w:r>
              <w:rPr>
                <w:b w:val="0"/>
                <w:sz w:val="20"/>
              </w:rPr>
              <w:t>Se abre el formulario para declarar la transferencia.</w:t>
            </w:r>
          </w:p>
        </w:tc>
      </w:tr>
      <w:tr>
        <w:tc>
          <w:tcPr>
            <w:tcW w:type="dxa" w:w="2041"/>
            <w:shd w:val="clear" w:color="auto" w:fill="F3F1FB"/>
          </w:tcPr>
          <w:p>
            <w:r/>
            <w:r>
              <w:rPr>
                <w:b/>
                <w:sz w:val="20"/>
              </w:rPr>
              <w:t>Resultado obtenido</w:t>
            </w:r>
          </w:p>
        </w:tc>
        <w:tc>
          <w:tcPr>
            <w:tcW w:type="dxa" w:w="7313"/>
          </w:tcPr>
          <w:p>
            <w:r/>
            <w:r>
              <w:rPr>
                <w:b w:val="0"/>
                <w:sz w:val="20"/>
              </w:rPr>
              <w:t>Antes: Renovar.aspx abría un RadWindow que vivía dentro del panel de pagos; como el botón hace un postback parcial, al volver la respuesta $find ya no encontraba la ventana y fallaba en setUrl (consola: «Cannot read properties of null (reading 'setUrl')»): el botón no hacía nada (captura hu194_defecto_declarar_no_abre). Corrección: abre el mismo SigmaModal que usa Comercial › Pagos. Reprobado: el formulario de pago se abre.</w:t>
            </w:r>
          </w:p>
        </w:tc>
      </w:tr>
      <w:tr>
        <w:tc>
          <w:tcPr>
            <w:tcW w:type="dxa" w:w="2041"/>
            <w:shd w:val="clear" w:color="auto" w:fill="F3F1FB"/>
          </w:tcPr>
          <w:p>
            <w:r/>
            <w:r>
              <w:rPr>
                <w:b/>
                <w:sz w:val="20"/>
              </w:rPr>
              <w:t>Fecha</w:t>
            </w:r>
          </w:p>
        </w:tc>
        <w:tc>
          <w:tcPr>
            <w:tcW w:type="dxa" w:w="7313"/>
          </w:tcPr>
          <w:p>
            <w:r/>
            <w:r>
              <w:rPr>
                <w:b w:val="0"/>
                <w:sz w:val="20"/>
              </w:rPr>
              <w:t>15-09-2026 00:37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35" name="Picture 35"/>
            <wp:cNvGraphicFramePr>
              <a:graphicFrameLocks noChangeAspect="1"/>
            </wp:cNvGraphicFramePr>
            <a:graphic>
              <a:graphicData uri="http://schemas.openxmlformats.org/drawingml/2006/picture">
                <pic:pic>
                  <pic:nvPicPr>
                    <pic:cNvPr id="0" name="hu194_defecto_declarar_no_abre.png"/>
                    <pic:cNvPicPr/>
                  </pic:nvPicPr>
                  <pic:blipFill>
                    <a:blip r:embed="rId4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35 — HU-194 CA1 · hu194 defecto declarar no abre</w:t>
      </w:r>
    </w:p>
    <w:p>
      <w:pPr>
        <w:jc w:val="center"/>
      </w:pPr>
      <w:r>
        <w:drawing>
          <wp:inline xmlns:a="http://schemas.openxmlformats.org/drawingml/2006/main" xmlns:pic="http://schemas.openxmlformats.org/drawingml/2006/picture">
            <wp:extent cx="5940000" cy="3214639"/>
            <wp:docPr id="36" name="Picture 36"/>
            <wp:cNvGraphicFramePr>
              <a:graphicFrameLocks noChangeAspect="1"/>
            </wp:cNvGraphicFramePr>
            <a:graphic>
              <a:graphicData uri="http://schemas.openxmlformats.org/drawingml/2006/picture">
                <pic:pic>
                  <pic:nvPicPr>
                    <pic:cNvPr id="0" name="hu194_defecto_declarar_abre.png"/>
                    <pic:cNvPicPr/>
                  </pic:nvPicPr>
                  <pic:blipFill>
                    <a:blip r:embed="rId4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36 — HU-194 CA1 · hu194 defecto declarar abre</w:t>
      </w:r>
    </w:p>
    <w:p>
      <w:pPr>
        <w:pStyle w:val="Heading1"/>
      </w:pPr>
      <w:r>
        <w:t>5. Defectos encontrados durante las pruebas</w:t>
      </w:r>
    </w:p>
    <w:p>
      <w:pPr>
        <w:spacing w:after="120"/>
      </w:pPr>
      <w:r>
        <w:rPr>
          <w:b w:val="0"/>
          <w:i w:val="0"/>
          <w:sz w:val="22"/>
        </w:rPr>
        <w:t>Durante la ejecución se encontraron los siguientes defectos. Cada uno se corrigió en el código, se recompiló y se volvió a ejecutar el caso; la reprueba queda documentada en la sección 4.</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20"/>
              </w:rPr>
              <w:t>Historia</w:t>
            </w:r>
          </w:p>
        </w:tc>
        <w:tc>
          <w:tcPr>
            <w:tcW w:type="dxa" w:w="3969"/>
            <w:shd w:val="clear" w:color="auto" w:fill="E8E5F7"/>
          </w:tcPr>
          <w:p>
            <w:r/>
            <w:r>
              <w:rPr>
                <w:b/>
                <w:sz w:val="20"/>
              </w:rPr>
              <w:t>Defecto</w:t>
            </w:r>
          </w:p>
        </w:tc>
        <w:tc>
          <w:tcPr>
            <w:tcW w:type="dxa" w:w="4139"/>
            <w:shd w:val="clear" w:color="auto" w:fill="E8E5F7"/>
          </w:tcPr>
          <w:p>
            <w:r/>
            <w:r>
              <w:rPr>
                <w:b/>
                <w:sz w:val="20"/>
              </w:rPr>
              <w:t>Corrección y reprueba</w:t>
            </w:r>
          </w:p>
        </w:tc>
      </w:tr>
      <w:tr>
        <w:tc>
          <w:tcPr>
            <w:tcW w:type="dxa" w:w="1247"/>
          </w:tcPr>
          <w:p>
            <w:r/>
            <w:r>
              <w:rPr>
                <w:sz w:val="19"/>
              </w:rPr>
              <w:t>HU-193</w:t>
            </w:r>
          </w:p>
        </w:tc>
        <w:tc>
          <w:tcPr>
            <w:tcW w:type="dxa" w:w="3969"/>
          </w:tcPr>
          <w:p>
            <w:r/>
            <w:r>
              <w:rPr>
                <w:sz w:val="19"/>
              </w:rPr>
              <w:t>Catalina (Root) elige el cliente CCU —recién contratado, sin período emitido— y abre Comercial › Períodos.</w:t>
            </w:r>
          </w:p>
        </w:tc>
        <w:tc>
          <w:tcPr>
            <w:tcW w:type="dxa" w:w="4139"/>
          </w:tcPr>
          <w:p>
            <w:r/>
            <w:r>
              <w:rPr>
                <w:sz w:val="19"/>
              </w:rPr>
              <w:t>Antes: SuscripcionAcceso.Exigir la mandaba a Renovar.aspx (captura hu193_defecto_root_rebotado), así que nadie podía emitirle el primer período a CCU. Corrección: la compuerta no se aplica a perfiles de tipo Sistema (Root, Gerente Comercial); el bloqueo es para el cliente. Reprobado: Períodos de CCU abre con normalidad.</w:t>
            </w:r>
          </w:p>
        </w:tc>
      </w:tr>
      <w:tr>
        <w:tc>
          <w:tcPr>
            <w:tcW w:type="dxa" w:w="1247"/>
          </w:tcPr>
          <w:p>
            <w:r/>
            <w:r>
              <w:rPr>
                <w:sz w:val="19"/>
              </w:rPr>
              <w:t>HU-194</w:t>
            </w:r>
          </w:p>
        </w:tc>
        <w:tc>
          <w:tcPr>
            <w:tcW w:type="dxa" w:w="3969"/>
          </w:tcPr>
          <w:p>
            <w:r/>
            <w:r>
              <w:rPr>
                <w:sz w:val="19"/>
              </w:rPr>
              <w:t>Marcela (administradora de Hamburgo) › Mi suscripción › Declarar pago.</w:t>
            </w:r>
          </w:p>
        </w:tc>
        <w:tc>
          <w:tcPr>
            <w:tcW w:type="dxa" w:w="4139"/>
          </w:tcPr>
          <w:p>
            <w:r/>
            <w:r>
              <w:rPr>
                <w:sz w:val="19"/>
              </w:rPr>
              <w:t>Antes: Renovar.aspx abría un RadWindow que vivía dentro del panel de pagos; como el botón hace un postback parcial, al volver la respuesta $find ya no encontraba la ventana y fallaba en setUrl (consola: «Cannot read properties of null (reading 'setUrl')»): el botón no hacía nada (captura hu194_defecto_declarar_no_abre). Corrección: abre el mismo SigmaModal que usa Comercial › Pagos. Reprobado: el formulario de pago se abre.</w:t>
            </w:r>
          </w:p>
        </w:tc>
      </w:tr>
      <w:tr>
        <w:tc>
          <w:tcPr>
            <w:tcW w:type="dxa" w:w="1247"/>
          </w:tcPr>
          <w:p>
            <w:r/>
            <w:r>
              <w:rPr>
                <w:sz w:val="19"/>
              </w:rPr>
              <w:t>HU-041</w:t>
            </w:r>
          </w:p>
        </w:tc>
        <w:tc>
          <w:tcPr>
            <w:tcW w:type="dxa" w:w="3969"/>
          </w:tcPr>
          <w:p>
            <w:r/>
            <w:r>
              <w:rPr>
                <w:sz w:val="19"/>
              </w:rPr>
              <w:t>Primera corrida de HU-041 #2: POST /captura/mediciones con 85 °C respondía 201 con solo {"id"}.</w:t>
            </w:r>
          </w:p>
        </w:tc>
        <w:tc>
          <w:tcPr>
            <w:tcW w:type="dxa" w:w="4139"/>
          </w:tcPr>
          <w:p>
            <w:r/>
            <w:r>
              <w:rPr>
                <w:sz w:val="19"/>
              </w:rPr>
              <w:t>Causa: API_INS_ACTIVO_MEDICION calcula el veredicto en su SELECT (BD/141), pero CapturaTerrenoController.Medicion usaba Datos.Ejecutar y lo tiraba: el 201 traía solo el id. Corrección: se lee el result set (MedicionRegistradaDto) y el 201 responde {id, mensaje}; ApiBase.Creado ganó una sobrecarga con cuerpo. Recompilado (0 errores) y reprobado: 85 °C → «VALOR CRITICO», 45 °C → «Medicion registrada».</w:t>
            </w:r>
          </w:p>
        </w:tc>
      </w:tr>
      <w:tr>
        <w:tc>
          <w:tcPr>
            <w:tcW w:type="dxa" w:w="1247"/>
          </w:tcPr>
          <w:p>
            <w:r/>
            <w:r>
              <w:rPr>
                <w:sz w:val="19"/>
              </w:rPr>
              <w:t>HU-190</w:t>
            </w:r>
          </w:p>
        </w:tc>
        <w:tc>
          <w:tcPr>
            <w:tcW w:type="dxa" w:w="3969"/>
          </w:tcPr>
          <w:p>
            <w:r/>
            <w:r>
              <w:rPr>
                <w:sz w:val="19"/>
              </w:rPr>
              <w:t>Al crear el plan y volver al listado de Planes, el plan nuevo no estaba (SEL_PLAN_COMERCIAL usaba INNER JOIN con los precios) y la ficha se cerraba sin mostrar el bloque de precios: no había forma de fijarle precio.</w:t>
            </w:r>
          </w:p>
        </w:tc>
        <w:tc>
          <w:tcPr>
            <w:tcW w:type="dxa" w:w="4139"/>
          </w:tcPr>
          <w:p>
            <w:r/>
            <w:r>
              <w:rPr>
                <w:sz w:val="19"/>
              </w:rPr>
              <w:t>Corregido con BD/228 (LEFT JOIN: el plan sale como «Sin precio»), PlanComercialController (lee PCB/PCP nulos) y Plan.aspx (tras crear, el mismo modal muestra Habilitado y Precios). Capturas: el modal recién guardado con el bloque de precios y el listado con el plan «Sin precio».</w:t>
            </w:r>
          </w:p>
        </w:tc>
      </w:tr>
    </w:tbl>
    <w:p>
      <w:pPr>
        <w:pStyle w:val="Heading1"/>
      </w:pPr>
      <w:r>
        <w:t>6. Conclusión</w:t>
      </w:r>
    </w:p>
    <w:p>
      <w:pPr>
        <w:spacing w:after="120"/>
      </w:pPr>
      <w:r>
        <w:rPr>
          <w:b w:val="0"/>
          <w:i w:val="0"/>
          <w:sz w:val="22"/>
        </w:rPr>
        <w:t>Se ejecutaron 18 casos de prueba sobre 5 historias del Sprint 2; 17 cumplen su criterio de aceptación, incluyendo 4 caso(s) de defecto corregido y reprobado. Quedan sin cumplir o fuera de esta corrida: HU-193 CA4 (Trabajo en curso en terreno (app)).</w:t>
      </w:r>
    </w:p>
    <w:p>
      <w:pPr>
        <w:spacing w:after="120"/>
      </w:pPr>
      <w:r>
        <w:rPr>
          <w:b w:val="0"/>
          <w:i w:val="0"/>
          <w:color w:val="555555"/>
          <w:sz w:val="20"/>
        </w:rPr>
        <w:t>Las capturas originales se conservan en Fase 2/Pruebas/capturas/S2/ junto con el manifiesto (manifiesto.json) que describe cada caso; los scripts de ejecución permiten repetir la corrida.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