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SPRINT REVIEW · SPRINT 2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Acta de la revisión del incremento con el cliente · 29 de septiembre de 2026 · Sprint 2 «Activos» (16-09-2026 al 29-09-2026)</w:t>
      </w:r>
    </w:p>
    <w:p>
      <w:pPr>
        <w:spacing w:after="120"/>
      </w:pPr>
      <w:r>
        <w:rPr>
          <w:b w:val="0"/>
          <w:i/>
          <w:color w:val="555555"/>
          <w:sz w:val="19"/>
        </w:rPr>
        <w:t>Borrador preparado el 27-09-2026 con los datos del Sprint Backlog y del informe de pruebas. Los campos en cursiva ámbar se completan durante la reunión.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Evento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Sprint Review (Guía Scrum 2020): inspección del Incremento y adaptación del Product Backlog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Sprint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Sprint 2 · Activos · del 16-09-2026 al 29-09-2026 · 22 historias · 109 puntos comprometidos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Fecha y duración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29-09-2026 · [hora de inicio y término] (timebox máximo 4 h para un Sprint de dos semanas)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Lugar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[Completar]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Facilita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Emilio Fuentes (Scrum Master)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Presenta el incremento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Bryan Chávez y Emilio Fuentes (Developers)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Registra el acta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Emilio Fuentes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Producto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SIGMA · cliente piloto Hamburgo S.A.</w:t>
            </w:r>
          </w:p>
        </w:tc>
      </w:tr>
    </w:tbl>
    <w:p>
      <w:pPr>
        <w:spacing w:after="40"/>
      </w:pPr>
    </w:p>
    <w:p>
      <w:pPr>
        <w:pStyle w:val="Heading1"/>
      </w:pPr>
      <w:r>
        <w:t>1. Asistentes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Nombre</w:t>
            </w:r>
          </w:p>
        </w:tc>
        <w:tc>
          <w:tcPr>
            <w:tcW w:type="dxa" w:w="4535"/>
            <w:shd w:val="clear" w:color="auto" w:fill="E8E5F7"/>
          </w:tcPr>
          <w:p>
            <w:r/>
            <w:r>
              <w:rPr>
                <w:b/>
                <w:sz w:val="19"/>
              </w:rPr>
              <w:t>Rol</w:t>
            </w:r>
          </w:p>
        </w:tc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9"/>
              </w:rPr>
              <w:t>Organización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Catalina Pescio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Product Owner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Código Creativo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Emilio Fuentes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Scrum Master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Código Creativo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Bryan Chávez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Developer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Código Creativo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Rodrigo Quezada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Jefe de Mantenimiento · Planta Renca (stakeholder)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Hamburgo S.A.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Marcela Aravena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Administradora del sistema en el cliente (stakeholder)</w:t>
            </w:r>
          </w:p>
        </w:tc>
        <w:tc>
          <w:tcPr>
            <w:tcW w:type="dxa" w:w="2268"/>
          </w:tcPr>
          <w:p>
            <w:r/>
            <w:r>
              <w:rPr>
                <w:sz w:val="19"/>
              </w:rPr>
              <w:t>Hamburgo S.A.</w:t>
            </w:r>
          </w:p>
        </w:tc>
      </w:tr>
    </w:tbl>
    <w:p>
      <w:pPr>
        <w:spacing w:after="40"/>
      </w:pPr>
    </w:p>
    <w:p>
      <w:pPr>
        <w:pStyle w:val="Heading1"/>
      </w:pPr>
      <w:r>
        <w:t>2. Objetivo del Sprint</w:t>
      </w:r>
    </w:p>
    <w:p>
      <w:pPr>
        <w:spacing w:after="120"/>
      </w:pPr>
      <w:r>
        <w:rPr>
          <w:b w:val="0"/>
          <w:i w:val="0"/>
          <w:sz w:val="22"/>
        </w:rPr>
        <w:t>«Activos»: que la planta exista dentro de SIGMA —sus posiciones funcionales, los equipos que las ocupan, sus componentes, atributos técnicos y medidores—, con el módulo comercial de suscripciones. Tras la Sprint Review 1, la parte de la app (consulta en terreno por QR y sincronización) se entrega en el Sprint 6.</w:t>
      </w:r>
    </w:p>
    <w:p>
      <w:pPr>
        <w:pStyle w:val="Heading1"/>
      </w:pPr>
      <w:r>
        <w:t>3. Incremento presentado</w:t>
      </w:r>
    </w:p>
    <w:p>
      <w:pPr>
        <w:spacing w:after="120"/>
      </w:pPr>
      <w:r>
        <w:rPr>
          <w:b w:val="0"/>
          <w:i w:val="0"/>
          <w:sz w:val="22"/>
        </w:rPr>
        <w:t>Estado de las 22 historias comprometidas al cierre del Sprint: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1624"/>
        <w:gridCol w:w="1624"/>
        <w:gridCol w:w="1624"/>
        <w:gridCol w:w="1624"/>
        <w:gridCol w:w="1624"/>
        <w:gridCol w:w="1624"/>
      </w:tblGrid>
      <w:tr>
        <w:tc>
          <w:tcPr>
            <w:tcW w:type="dxa" w:w="907"/>
            <w:shd w:val="clear" w:color="auto" w:fill="E8E5F7"/>
          </w:tcPr>
          <w:p>
            <w:r/>
            <w:r>
              <w:rPr>
                <w:b/>
                <w:sz w:val="18"/>
              </w:rPr>
              <w:t>HU</w:t>
            </w:r>
          </w:p>
        </w:tc>
        <w:tc>
          <w:tcPr>
            <w:tcW w:type="dxa" w:w="4082"/>
            <w:shd w:val="clear" w:color="auto" w:fill="E8E5F7"/>
          </w:tcPr>
          <w:p>
            <w:r/>
            <w:r>
              <w:rPr>
                <w:b/>
                <w:sz w:val="18"/>
              </w:rPr>
              <w:t>Historia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8"/>
              </w:rPr>
              <w:t>Plataforma</w:t>
            </w:r>
          </w:p>
        </w:tc>
        <w:tc>
          <w:tcPr>
            <w:tcW w:type="dxa" w:w="567"/>
            <w:shd w:val="clear" w:color="auto" w:fill="E8E5F7"/>
          </w:tcPr>
          <w:p>
            <w:r/>
            <w:r>
              <w:rPr>
                <w:b/>
                <w:sz w:val="18"/>
              </w:rPr>
              <w:t>Pts</w:t>
            </w:r>
          </w:p>
        </w:tc>
        <w:tc>
          <w:tcPr>
            <w:tcW w:type="dxa" w:w="1361"/>
            <w:shd w:val="clear" w:color="auto" w:fill="E8E5F7"/>
          </w:tcPr>
          <w:p>
            <w:r/>
            <w:r>
              <w:rPr>
                <w:b/>
                <w:sz w:val="18"/>
              </w:rPr>
              <w:t>Estado al cierre</w:t>
            </w:r>
          </w:p>
        </w:tc>
        <w:tc>
          <w:tcPr>
            <w:tcW w:type="dxa" w:w="1474"/>
            <w:shd w:val="clear" w:color="auto" w:fill="E8E5F7"/>
          </w:tcPr>
          <w:p>
            <w:r/>
            <w:r>
              <w:rPr>
                <w:b/>
                <w:sz w:val="18"/>
              </w:rPr>
              <w:t>Responsable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HU-030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Administrar tipos de activo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HU-031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Administrar modelos de activo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HU-032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Definir los atributos técnicos de un tipo de activo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HU-033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Registrar una posición funcional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HU-034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Generar e imprimir el código QR de una posición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HU-035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Registrar un activo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HU-036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Registrar los componentes de un activo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HU-037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Consultar la ficha y el historial de un activo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 y 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HU-038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Cambiar el estado de un activo indicando el motivo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 y 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HU-040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Administrar unidades de medida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HU-041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Administrar variables de condición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HU-042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Configurar el medidor de un activo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Emilio Fuentes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HU-043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Registrar una lectura de medidor desde terreno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Movida a Sprint 6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HU-044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Registrar una medición de condición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Movida a Sprint 6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HU-045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Consultar la serie histórica de una variable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HU-150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Sincronizar los datos hacia el dispositivo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Movida a Sprint 6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HU-154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Escanear el código QR de una posición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Movida a Sprint 6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HU-190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Administrar planes comerciales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HU-191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Contratar o renovar una suscripción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HU-192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Consultar el estado de mi suscripción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HU-193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Bloquear el acceso por suscripción vencida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 y App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18"/>
              </w:rPr>
              <w:t>HU-194</w:t>
            </w:r>
          </w:p>
        </w:tc>
        <w:tc>
          <w:tcPr>
            <w:tcW w:type="dxa" w:w="4082"/>
          </w:tcPr>
          <w:p>
            <w:r/>
            <w:r>
              <w:rPr>
                <w:sz w:val="18"/>
              </w:rPr>
              <w:t>Registrar el pago de una suscripción</w:t>
            </w:r>
          </w:p>
        </w:tc>
        <w:tc>
          <w:tcPr>
            <w:tcW w:type="dxa" w:w="1247"/>
          </w:tcPr>
          <w:p>
            <w:r/>
            <w:r>
              <w:rPr>
                <w:sz w:val="18"/>
              </w:rPr>
              <w:t>Web</w:t>
            </w:r>
          </w:p>
        </w:tc>
        <w:tc>
          <w:tcPr>
            <w:tcW w:type="dxa" w:w="567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Terminada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Bryan Chávez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1"/>
        </w:rPr>
        <w:t>Resumen: 18 historias terminadas (83 puntos) y 4 movidas al Sprint 6 por ser de la app móvil (26 puntos), según la Decisión 1 de la Sprint Review 1. El informe de pruebas del Sprint 2 ejercitó 47 casos de aceptación, de los que 45 cumplen; los 2 que no cumplen son criterios de la app sin conexión (HU-193 #4, HU-037 #3), que se verifican en el Sprint 6.</w:t>
      </w:r>
    </w:p>
    <w:p>
      <w:pPr>
        <w:pStyle w:val="Heading2"/>
      </w:pPr>
      <w:r>
        <w:t>3.1 Lo que se demostró</w:t>
      </w:r>
    </w:p>
    <w:p>
      <w:pPr>
        <w:pStyle w:val="ListBullet"/>
        <w:spacing w:after="60"/>
      </w:pPr>
      <w:r>
        <w:rPr>
          <w:sz w:val="21"/>
        </w:rPr>
        <w:t>Posiciones funcionales de la planta con su código QR impreso en hoja de etiquetas (HU-033, HU-034).</w:t>
      </w:r>
    </w:p>
    <w:p>
      <w:pPr>
        <w:pStyle w:val="ListBullet"/>
        <w:spacing w:after="60"/>
      </w:pPr>
      <w:r>
        <w:rPr>
          <w:sz w:val="21"/>
        </w:rPr>
        <w:t>Alta de activo con serie única por cliente, sus componentes y la ficha del activo con su historial (HU-035, HU-036, HU-037).</w:t>
      </w:r>
    </w:p>
    <w:p>
      <w:pPr>
        <w:pStyle w:val="ListBullet"/>
        <w:spacing w:after="60"/>
      </w:pPr>
      <w:r>
        <w:rPr>
          <w:sz w:val="21"/>
        </w:rPr>
        <w:t>Cambio de estado del activo con motivo obligatorio (HU-038).</w:t>
      </w:r>
    </w:p>
    <w:p>
      <w:pPr>
        <w:pStyle w:val="ListBullet"/>
        <w:spacing w:after="60"/>
      </w:pPr>
      <w:r>
        <w:rPr>
          <w:sz w:val="21"/>
        </w:rPr>
        <w:t>Tipos, modelos y atributos técnicos por tipo de activo (HU-030, HU-031, HU-032).</w:t>
      </w:r>
    </w:p>
    <w:p>
      <w:pPr>
        <w:pStyle w:val="ListBullet"/>
        <w:spacing w:after="60"/>
      </w:pPr>
      <w:r>
        <w:rPr>
          <w:sz w:val="21"/>
        </w:rPr>
        <w:t>Unidades de medida, variables de condición, configuración del medidor y serie histórica de una variable con gráfico (HU-040, HU-041, HU-042, HU-045).</w:t>
      </w:r>
    </w:p>
    <w:p>
      <w:pPr>
        <w:pStyle w:val="ListBullet"/>
        <w:spacing w:after="60"/>
      </w:pPr>
      <w:r>
        <w:rPr>
          <w:sz w:val="21"/>
        </w:rPr>
        <w:t>Módulo comercial: planes, contratación y renovación, estado de la suscripción, registro del pago y bloqueo por suscripción vencida (HU-190 a HU-194).</w:t>
      </w:r>
    </w:p>
    <w:p>
      <w:pPr>
        <w:pStyle w:val="Heading2"/>
      </w:pPr>
      <w:r>
        <w:t>3.2 Lo que NO se entregó y por qué</w:t>
      </w:r>
    </w:p>
    <w:p>
      <w:pPr>
        <w:pStyle w:val="ListBullet"/>
        <w:spacing w:after="60"/>
      </w:pPr>
      <w:r>
        <w:rPr>
          <w:sz w:val="21"/>
        </w:rPr>
        <w:t>HU-150 Sincronizar los datos hacia el dispositivo (App): movida al Sprint 6 por ser de la app móvil. El lado servidor que consumirá la app ya está construido.</w:t>
      </w:r>
    </w:p>
    <w:p>
      <w:pPr>
        <w:pStyle w:val="ListBullet"/>
        <w:spacing w:after="60"/>
      </w:pPr>
      <w:r>
        <w:rPr>
          <w:sz w:val="21"/>
        </w:rPr>
        <w:t>HU-043 Registrar una lectura de medidor desde terreno (App): movida al Sprint 6 por ser de la app móvil. El lado servidor que consumirá la app ya está construido.</w:t>
      </w:r>
    </w:p>
    <w:p>
      <w:pPr>
        <w:pStyle w:val="ListBullet"/>
        <w:spacing w:after="60"/>
      </w:pPr>
      <w:r>
        <w:rPr>
          <w:sz w:val="21"/>
        </w:rPr>
        <w:t>HU-154 Escanear el código QR de una posición (App): movida al Sprint 6 por ser de la app móvil. El lado servidor que consumirá la app ya está construido.</w:t>
      </w:r>
    </w:p>
    <w:p>
      <w:pPr>
        <w:pStyle w:val="ListBullet"/>
        <w:spacing w:after="60"/>
      </w:pPr>
      <w:r>
        <w:rPr>
          <w:sz w:val="21"/>
        </w:rPr>
        <w:t>HU-044 Registrar una medición de condición (App): movida al Sprint 6 por ser de la app móvil. El lado servidor que consumirá la app ya está construido.</w:t>
      </w:r>
    </w:p>
    <w:p>
      <w:pPr>
        <w:pStyle w:val="Heading1"/>
      </w:pPr>
      <w:r>
        <w:t>4. Retroalimentación de los stakeholders</w:t>
      </w:r>
    </w:p>
    <w:p>
      <w:pPr>
        <w:spacing w:after="120"/>
      </w:pPr>
      <w:r>
        <w:rPr>
          <w:b w:val="0"/>
          <w:i/>
          <w:color w:val="9A6A00"/>
          <w:sz w:val="21"/>
        </w:rPr>
        <w:t>[Completar en la reunión]</w:t>
      </w:r>
    </w:p>
    <w:p>
      <w:pPr>
        <w:spacing w:after="120"/>
      </w:pPr>
      <w:r>
        <w:rPr>
          <w:b w:val="0"/>
          <w:i/>
          <w:color w:val="9A6A00"/>
          <w:sz w:val="21"/>
        </w:rPr>
        <w:t>[Observaciones de Rodrigo Quezada y Marcela Aravena sobre el incremento]</w:t>
      </w:r>
    </w:p>
    <w:p>
      <w:pPr>
        <w:pStyle w:val="Heading1"/>
      </w:pPr>
      <w:r>
        <w:t>5. Decisiones: adaptación del Product Backlog</w:t>
      </w:r>
    </w:p>
    <w:p>
      <w:pPr>
        <w:spacing w:after="120"/>
      </w:pPr>
      <w:r>
        <w:rPr>
          <w:b w:val="0"/>
          <w:i/>
          <w:color w:val="9A6A00"/>
          <w:sz w:val="21"/>
        </w:rPr>
        <w:t>[Decisiones de la Product Owner a partir de lo inspeccionado, si las hay]</w:t>
      </w:r>
    </w:p>
    <w:p>
      <w:pPr>
        <w:pStyle w:val="Heading1"/>
      </w:pPr>
      <w:r>
        <w:t>6. Riesgos e impedimentos</w:t>
      </w:r>
    </w:p>
    <w:p>
      <w:pPr>
        <w:pStyle w:val="ListBullet"/>
        <w:spacing w:after="60"/>
      </w:pPr>
      <w:r>
        <w:rPr>
          <w:sz w:val="21"/>
        </w:rPr>
        <w:t>SMTP, almacenamiento de archivos y clave de Google Maps (impedimentos n.º 1, 2 y 4): siguen «en gestión» con fecha Sprint 6, según la Decisión 5 de la Review 1.</w:t>
      </w:r>
    </w:p>
    <w:p>
      <w:pPr>
        <w:pStyle w:val="ListBullet"/>
        <w:spacing w:after="60"/>
      </w:pPr>
      <w:r>
        <w:rPr>
          <w:sz w:val="21"/>
        </w:rPr>
        <w:t>Carga del Sprint 6: sigue siendo el riesgo principal del proyecto (acuerdo A4 de la Retro 1, pendiente).</w:t>
      </w:r>
    </w:p>
    <w:p>
      <w:pPr>
        <w:spacing w:after="120"/>
      </w:pPr>
      <w:r>
        <w:rPr>
          <w:b w:val="0"/>
          <w:i/>
          <w:color w:val="9A6A00"/>
          <w:sz w:val="21"/>
        </w:rPr>
        <w:t>[Riesgos nuevos que surjan en la reunión]</w:t>
      </w:r>
    </w:p>
    <w:p>
      <w:pPr>
        <w:pStyle w:val="Heading1"/>
      </w:pPr>
      <w:r>
        <w:t>7. Próximos pasos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5386"/>
            <w:shd w:val="clear" w:color="auto" w:fill="E8E5F7"/>
          </w:tcPr>
          <w:p>
            <w:r/>
            <w:r>
              <w:rPr>
                <w:b/>
                <w:sz w:val="19"/>
              </w:rPr>
              <w:t>Acción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Responsable</w:t>
            </w:r>
          </w:p>
        </w:tc>
        <w:tc>
          <w:tcPr>
            <w:tcW w:type="dxa" w:w="1701"/>
            <w:shd w:val="clear" w:color="auto" w:fill="E8E5F7"/>
          </w:tcPr>
          <w:p>
            <w:r/>
            <w:r>
              <w:rPr>
                <w:b/>
                <w:sz w:val="19"/>
              </w:rPr>
              <w:t>Fecha</w:t>
            </w:r>
          </w:p>
        </w:tc>
      </w:tr>
      <w:tr>
        <w:tc>
          <w:tcPr>
            <w:tcW w:type="dxa" w:w="5386"/>
          </w:tcPr>
          <w:p>
            <w:r/>
            <w:r>
              <w:rPr>
                <w:sz w:val="19"/>
              </w:rPr>
              <w:t>Sprint Planning 3 con el objetivo «Recursos y recurrencia».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Equipo Scrum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30-09-2026</w:t>
            </w:r>
          </w:p>
        </w:tc>
      </w:tr>
      <w:tr>
        <w:tc>
          <w:tcPr>
            <w:tcW w:type="dxa" w:w="5386"/>
          </w:tcPr>
          <w:p>
            <w:r/>
            <w:r>
              <w:rPr>
                <w:sz w:val="19"/>
              </w:rPr>
              <w:t>[Completar]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8. Conformidad</w:t>
      </w:r>
    </w:p>
    <w:p>
      <w:pPr>
        <w:spacing w:after="120"/>
      </w:pPr>
      <w:r>
        <w:rPr>
          <w:b w:val="0"/>
          <w:i w:val="0"/>
          <w:sz w:val="21"/>
        </w:rPr>
        <w:t>La Product Owner acepta el incremento del Sprint 2: 18 historias terminadas y validadas. Las 4 historias de la app quedan para el Sprint 6.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E8E5F7"/>
          </w:tcPr>
          <w:p>
            <w:r/>
            <w:r>
              <w:rPr>
                <w:b/>
                <w:sz w:val="19"/>
              </w:rPr>
              <w:t>Nombre</w:t>
            </w:r>
          </w:p>
        </w:tc>
        <w:tc>
          <w:tcPr>
            <w:tcW w:type="dxa" w:w="4535"/>
            <w:shd w:val="clear" w:color="auto" w:fill="E8E5F7"/>
          </w:tcPr>
          <w:p>
            <w:r/>
            <w:r>
              <w:rPr>
                <w:b/>
                <w:sz w:val="19"/>
              </w:rPr>
              <w:t>Rol</w:t>
            </w:r>
          </w:p>
        </w:tc>
        <w:tc>
          <w:tcPr>
            <w:tcW w:type="dxa" w:w="1984"/>
            <w:shd w:val="clear" w:color="auto" w:fill="E8E5F7"/>
          </w:tcPr>
          <w:p>
            <w:r/>
            <w:r>
              <w:rPr>
                <w:b/>
                <w:sz w:val="19"/>
              </w:rPr>
              <w:t>Firma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Catalina Pescio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Product Owner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Emilio Fuentes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Scrum Master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Bryan Chávez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Developer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Rodrigo Quezada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Jefe de Mantenimiento · Planta Renca (stakeholder)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9"/>
              </w:rPr>
              <w:t>Marcela Aravena</w:t>
            </w:r>
          </w:p>
        </w:tc>
        <w:tc>
          <w:tcPr>
            <w:tcW w:type="dxa" w:w="4535"/>
          </w:tcPr>
          <w:p>
            <w:r/>
            <w:r>
              <w:rPr>
                <w:sz w:val="19"/>
              </w:rPr>
              <w:t>Administradora del sistema en el cliente (stakeholder)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