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b/>
          <w:bCs/>
          <w:color w:val="2E5C8A"/>
          <w:sz w:val="54"/>
          <w:szCs w:val="54"/>
        </w:rPr>
        <w:t xml:space="preserve">PLAN DE TRAVAIL</w:t>
      </w:r>
    </w:p>
    <w:p>
      <w:pPr>
        <w:spacing w:after="40"/>
        <w:jc w:val="center"/>
      </w:pPr>
      <w:r>
        <w:rPr>
          <w:color w:val="555555"/>
          <w:sz w:val="30"/>
          <w:szCs w:val="30"/>
        </w:rPr>
        <w:t xml:space="preserve">Projet Quiz Éducatif</w:t>
      </w:r>
    </w:p>
    <w:p>
      <w:pPr>
        <w:spacing w:after="600"/>
        <w:jc w:val="center"/>
      </w:pPr>
      <w:r>
        <w:rPr>
          <w:color w:val="777777"/>
          <w:sz w:val="24"/>
          <w:szCs w:val="24"/>
        </w:rPr>
        <w:t xml:space="preserve">Phase 1 — Version web</w:t>
      </w:r>
    </w:p>
    <w:p>
      <w:pPr>
        <w:pBdr>
          <w:top w:val="single" w:color="2E5C8A" w:sz="6" w:space="6"/>
          <w:bottom w:val="single" w:color="2E5C8A" w:sz="6" w:space="6"/>
        </w:pBdr>
        <w:spacing w:after="200" w:before="200"/>
        <w:jc w:val="center"/>
      </w:pPr>
      <w:r>
        <w:rPr>
          <w:b/>
          <w:bCs/>
          <w:sz w:val="28"/>
          <w:szCs w:val="28"/>
        </w:rPr>
        <w:t xml:space="preserve">Coding Club ISTEAH</w:t>
      </w:r>
    </w:p>
    <w:p>
      <w:pPr>
        <w:spacing w:before="600"/>
        <w:jc w:val="center"/>
      </w:pPr>
      <w:r>
        <w:rPr>
          <w:i/>
          <w:iCs/>
          <w:color w:val="777777"/>
          <w:sz w:val="22"/>
          <w:szCs w:val="22"/>
        </w:rPr>
        <w:t xml:space="preserve">Document destiné à l’ensemble des membres</w:t>
      </w:r>
    </w:p>
    <w:p>
      <w:r>
        <w:br w:type="page"/>
      </w:r>
    </w:p>
    <w:p>
      <w:pPr>
        <w:spacing w:after="160"/>
      </w:pPr>
      <w:r>
        <w:rPr>
          <w:b/>
          <w:bCs/>
          <w:color w:val="2E5C8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Objectif et méthode</w:t>
      </w:r>
    </w:p>
    <w:p>
      <w:pPr>
        <w:spacing w:after="120"/>
        <w:jc w:val="both"/>
      </w:pPr>
      <w:r>
        <w:t xml:space="preserve">Ce plan organise le travail de la phase 1 du projet : la version web de l’application de quiz. La version web est développée en premier parce qu’elle est plus simple techniquement et sert de terrain d’apprentissage à tous. La version mobile (Flutter, hors ligne) viendra en phase 2, une fois les bases acquises.</w:t>
      </w:r>
    </w:p>
    <w:p>
      <w:pPr>
        <w:spacing w:after="120"/>
        <w:jc w:val="both"/>
      </w:pPr>
      <w:r>
        <w:t xml:space="preserve">Notre premier grand objectif n’est pas de tout construire d’un coup, mais de livrer une chaîne complète qui fonctionne de bout en bout : un seul niveau, une seule matière, un seul chapitre, les trois modes de jeu, avec compte et sauvegarde en ligne. Une fois ce socle solide, le reste n’est que répétition et élargissement.</w:t>
      </w:r>
    </w:p>
    <w:p>
      <w:pPr>
        <w:pStyle w:val="Heading2"/>
      </w:pPr>
      <w:r>
        <w:t xml:space="preserve">Comment nous travaillons</w:t>
      </w:r>
    </w:p>
    <w:p>
      <w:pPr>
        <w:pStyle w:val="ListParagraph"/>
        <w:numPr>
          <w:ilvl w:val="0"/>
          <w:numId w:val="2"/>
        </w:numPr>
        <w:spacing w:after="40"/>
      </w:pPr>
      <w:r>
        <w:t xml:space="preserve">Binômes : chaque tâche importante réunit une personne plus à l’aise et une personne débutante. On apprend en faisant, et aucune tâche critique ne dépend d’une seule personne.</w:t>
      </w:r>
    </w:p>
    <w:p>
      <w:pPr>
        <w:pStyle w:val="ListParagraph"/>
        <w:numPr>
          <w:ilvl w:val="0"/>
          <w:numId w:val="2"/>
        </w:numPr>
        <w:spacing w:after="40"/>
      </w:pPr>
      <w:r>
        <w:t xml:space="preserve">Petites tâches : le travail est découpé en tâches finissables en une ou deux séances. C’est ce qui permet d’avancer malgré des emplois du temps chargés et de voir vite son travail intégré.</w:t>
      </w:r>
    </w:p>
    <w:p>
      <w:pPr>
        <w:pStyle w:val="ListParagraph"/>
        <w:numPr>
          <w:ilvl w:val="0"/>
          <w:numId w:val="2"/>
        </w:numPr>
        <w:spacing w:after="40"/>
      </w:pPr>
      <w:r>
        <w:t xml:space="preserve">GitHub et revue de code : tout passe par le dépôt. Chaque contribution est proposée via une « pull request » et relue avant d’être intégrée. La revue sert à apprendre, pas à juger.</w:t>
      </w:r>
    </w:p>
    <w:p>
      <w:pPr>
        <w:pStyle w:val="ListParagraph"/>
        <w:numPr>
          <w:ilvl w:val="0"/>
          <w:numId w:val="2"/>
        </w:numPr>
        <w:spacing w:after="40"/>
      </w:pPr>
      <w:r>
        <w:t xml:space="preserve">Personne ne reste bloqué seul : en cas de blocage, on le signale au point d’équipe ou à son référent.</w:t>
      </w:r>
    </w:p>
    <w:p>
      <w:pPr>
        <w:pStyle w:val="Heading1"/>
      </w:pPr>
      <w:r>
        <w:t xml:space="preserve">2. Vue d’ensemble par étapes</w:t>
      </w:r>
    </w:p>
    <w:p>
      <w:pPr>
        <w:spacing w:after="120"/>
        <w:jc w:val="both"/>
      </w:pPr>
      <w:r>
        <w:t xml:space="preserve">Le projet avance par étapes qui dépendent les unes des autres. Tout le monde ne code pas dès le premier jour : on pose d’abord les fondations communes, puis les groupes avancent en parallèle.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b/>
                <w:bCs/>
                <w:color w:val="FFFFFF"/>
                <w:sz w:val="20"/>
                <w:szCs w:val="20"/>
              </w:rPr>
              <w:t xml:space="preserve">Étape</w:t>
            </w:r>
          </w:p>
        </w:tc>
        <w:tc>
          <w:tcPr>
            <w:tcW w:type="dxa" w:w="696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b/>
                <w:bCs/>
                <w:color w:val="FFFFFF"/>
                <w:sz w:val="20"/>
                <w:szCs w:val="20"/>
              </w:rPr>
              <w:t xml:space="preserve">Ce qu’on produit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Étape 0 — Fondations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Schéma de la banque de questions et contrat d’API figés ; dépôt GitHub et environnements en place ; premières maquettes ; début du tri de la banque de questions.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Jalon 1 — Tranche verticale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Un niveau, une matière, un chapitre ; les trois modes de jeu ; compte et sauvegarde en ligne ; le tout testé de bout en bout.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Jalon 2 — Élargissement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Plusieurs chapitres et matières ; cartes mentales ; interface soignée.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Jalon 3 — En ligne avancé</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Classements par ville, matière et niveau ; préparation de la synchronisation.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Phase 2 — Mobile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Application Flutter hors ligne avec synchronisation (après la phase web).</w:t>
            </w:r>
          </w:p>
        </w:tc>
      </w:tr>
    </w:tbl>
    <w:p>
      <w:pPr>
        <w:spacing w:before="80"/>
      </w:pPr>
      <w:r>
        <w:rPr>
          <w:i/>
          <w:iCs/>
          <w:color w:val="555555"/>
          <w:sz w:val="20"/>
          <w:szCs w:val="20"/>
        </w:rPr>
        <w:t xml:space="preserve">Rythme proposé : des cycles de deux semaines, avec un point d’équipe à la fin de chaque cycle. Les dates précises sont fixées par la cellule de coordination ; l’ordre des étapes, lui, ne change pas.</w:t>
      </w:r>
    </w:p>
    <w:p>
      <w:pPr>
        <w:pStyle w:val="Heading1"/>
      </w:pPr>
      <w:r>
        <w:t xml:space="preserve">3. Les deux contrats à figer en premier</w:t>
      </w:r>
    </w:p>
    <w:p>
      <w:pPr>
        <w:spacing w:after="120"/>
        <w:jc w:val="both"/>
      </w:pPr>
      <w:r>
        <w:t xml:space="preserve">Avant que les groupes avancent chacun de leur côté, deux éléments doivent être définis et partagés. Sans eux, des groupes risquent de construire des pièces qui ne s’emboîtent pas.</w:t>
      </w:r>
    </w:p>
    <w:p>
      <w:pPr>
        <w:pStyle w:val="ListParagraph"/>
        <w:numPr>
          <w:ilvl w:val="0"/>
          <w:numId w:val="2"/>
        </w:numPr>
        <w:spacing w:after="50"/>
      </w:pPr>
      <w:r>
        <w:rPr>
          <w:b/>
          <w:bCs/>
        </w:rPr>
        <w:t xml:space="preserve">Le schéma de la banque de questions : </w:t>
      </w:r>
      <w:r>
        <w:t xml:space="preserve">le format exact d’une question (niveau, matière, chapitre, énoncé, choix, bonne réponse, explication, difficulté). Il est partagé par le contenu, le frontend et les données.</w:t>
      </w:r>
    </w:p>
    <w:p>
      <w:pPr>
        <w:pStyle w:val="ListParagraph"/>
        <w:numPr>
          <w:ilvl w:val="0"/>
          <w:numId w:val="2"/>
        </w:numPr>
        <w:spacing w:after="50"/>
      </w:pPr>
      <w:r>
        <w:rPr>
          <w:b/>
          <w:bCs/>
        </w:rPr>
        <w:t xml:space="preserve">Le contrat d’API : </w:t>
      </w:r>
      <w:r>
        <w:t xml:space="preserve">la liste des échanges entre le frontend et le backend et le format des données (comptes, récupération des questions, sauvegarde de la progression). Il lie le frontend et le backend.</w:t>
      </w:r>
    </w:p>
    <w:p>
      <w:pPr>
        <w:spacing w:after="120"/>
        <w:jc w:val="both"/>
      </w:pPr>
      <w:r>
        <w:t xml:space="preserve">Ces deux contrats sont produits par la cellule de coordination avec les groupes concernés, dès l’Étape 0.</w:t>
      </w:r>
    </w:p>
    <w:p>
      <w:pPr>
        <w:pStyle w:val="Heading1"/>
        <w:pageBreakBefore/>
      </w:pPr>
      <w:r>
        <w:t xml:space="preserve">4. Plan par groupe</w:t>
      </w:r>
    </w:p>
    <w:p>
      <w:pPr>
        <w:pStyle w:val="Heading2"/>
      </w:pPr>
      <w:r>
        <w:t xml:space="preserve">Coordination</w:t>
      </w:r>
      <w:r>
        <w:rPr>
          <w:b w:val="false"/>
          <w:bCs w:val="false"/>
          <w:color w:val="888888"/>
          <w:sz w:val="22"/>
          <w:szCs w:val="22"/>
        </w:rPr>
        <w:t xml:space="preserve">  (responsable + référents)</w:t>
      </w:r>
    </w:p>
    <w:p>
      <w:pPr>
        <w:spacing w:after="80"/>
        <w:jc w:val="both"/>
      </w:pPr>
      <w:r>
        <w:rPr>
          <w:b/>
          <w:bCs/>
        </w:rPr>
        <w:t xml:space="preserve">Mission : </w:t>
      </w:r>
      <w:r>
        <w:t xml:space="preserve">Garantir que les groupes parlent le même langage, débloquer, arbitrer et relire le code.</w:t>
      </w:r>
    </w:p>
    <w:p>
      <w:pPr>
        <w:pStyle w:val="ListParagraph"/>
        <w:numPr>
          <w:ilvl w:val="0"/>
          <w:numId w:val="2"/>
        </w:numPr>
        <w:spacing w:after="50"/>
      </w:pPr>
      <w:r>
        <w:rPr>
          <w:b/>
          <w:bCs/>
        </w:rPr>
        <w:t xml:space="preserve">Démarrage (Étape 0) : </w:t>
      </w:r>
      <w:r>
        <w:t xml:space="preserve">figer le schéma de questions et le contrat d’API ; créer le dépôt GitHub (structure en couches, conventions, modèle de pull request) ; mettre en place le tableau de tâches ; constituer les binômes.</w:t>
      </w:r>
    </w:p>
    <w:p>
      <w:pPr>
        <w:pStyle w:val="ListParagraph"/>
        <w:numPr>
          <w:ilvl w:val="0"/>
          <w:numId w:val="2"/>
        </w:numPr>
        <w:spacing w:after="50"/>
      </w:pPr>
      <w:r>
        <w:rPr>
          <w:b/>
          <w:bCs/>
        </w:rPr>
        <w:t xml:space="preserve">Vers le premier jalon : </w:t>
      </w:r>
      <w:r>
        <w:t xml:space="preserve">animer le point hebdomadaire, assurer la revue de code, lever les blocages entre groupes.</w:t>
      </w:r>
    </w:p>
    <w:p>
      <w:pPr>
        <w:pStyle w:val="ListParagraph"/>
        <w:numPr>
          <w:ilvl w:val="0"/>
          <w:numId w:val="2"/>
        </w:numPr>
        <w:spacing w:after="50"/>
      </w:pPr>
      <w:r>
        <w:rPr>
          <w:b/>
          <w:bCs/>
        </w:rPr>
        <w:t xml:space="preserve">Ensuite : </w:t>
      </w:r>
      <w:r>
        <w:t xml:space="preserve">repérer les membres à responsabiliser (référents, relecteurs) grâce aux revues de code.</w:t>
      </w:r>
    </w:p>
    <w:p>
      <w:pPr>
        <w:spacing w:after="60"/>
      </w:pPr>
      <w:r>
        <w:t xml:space="preserve"/>
      </w:r>
    </w:p>
    <w:p>
      <w:pPr>
        <w:pStyle w:val="Heading2"/>
      </w:pPr>
      <w:r>
        <w:t xml:space="preserve">Contenu / pédagogique</w:t>
      </w:r>
      <w:r>
        <w:rPr>
          <w:b w:val="false"/>
          <w:bCs w:val="false"/>
          <w:color w:val="888888"/>
          <w:sz w:val="22"/>
          <w:szCs w:val="22"/>
        </w:rPr>
        <w:t xml:space="preserve">  (~16)</w:t>
      </w:r>
    </w:p>
    <w:p>
      <w:pPr>
        <w:spacing w:after="80"/>
        <w:jc w:val="both"/>
      </w:pPr>
      <w:r>
        <w:rPr>
          <w:b/>
          <w:bCs/>
        </w:rPr>
        <w:t xml:space="preserve">Mission : </w:t>
      </w:r>
      <w:r>
        <w:t xml:space="preserve">Transformer la banque de questions existante en contenu scolaire prêt à intégrer.</w:t>
      </w:r>
    </w:p>
    <w:p>
      <w:pPr>
        <w:pStyle w:val="ListParagraph"/>
        <w:numPr>
          <w:ilvl w:val="0"/>
          <w:numId w:val="2"/>
        </w:numPr>
        <w:spacing w:after="50"/>
      </w:pPr>
      <w:r>
        <w:rPr>
          <w:b/>
          <w:bCs/>
        </w:rPr>
        <w:t xml:space="preserve">Démarrage (Étape 0) : </w:t>
      </w:r>
      <w:r>
        <w:t xml:space="preserve">avec la coordination, valider le schéma de question ; commencer le tri de la banque par niveau, matière et chapitre ; choisir le chapitre pilote du premier jalon.</w:t>
      </w:r>
    </w:p>
    <w:p>
      <w:pPr>
        <w:pStyle w:val="ListParagraph"/>
        <w:numPr>
          <w:ilvl w:val="0"/>
          <w:numId w:val="2"/>
        </w:numPr>
        <w:spacing w:after="50"/>
      </w:pPr>
      <w:r>
        <w:rPr>
          <w:b/>
          <w:bCs/>
        </w:rPr>
        <w:t xml:space="preserve">Vers le premier jalon : </w:t>
      </w:r>
      <w:r>
        <w:t xml:space="preserve">produire le contenu complet du chapitre pilote : questions triées, difficulté étiquetée, explications rédigées (deux à trois phrases) et relues avant intégration.</w:t>
      </w:r>
    </w:p>
    <w:p>
      <w:pPr>
        <w:pStyle w:val="ListParagraph"/>
        <w:numPr>
          <w:ilvl w:val="0"/>
          <w:numId w:val="2"/>
        </w:numPr>
        <w:spacing w:after="50"/>
      </w:pPr>
      <w:r>
        <w:rPr>
          <w:b/>
          <w:bCs/>
        </w:rPr>
        <w:t xml:space="preserve">Ensuite : </w:t>
      </w:r>
      <w:r>
        <w:t xml:space="preserve">élargir aux autres chapitres et matières ; produire les cartes mentales. Règle : toute explication est validée par un responsable avant intégration.</w:t>
      </w:r>
    </w:p>
    <w:p>
      <w:pPr>
        <w:spacing w:after="60"/>
      </w:pPr>
      <w:r>
        <w:t xml:space="preserve"/>
      </w:r>
    </w:p>
    <w:p>
      <w:pPr>
        <w:pStyle w:val="Heading2"/>
      </w:pPr>
      <w:r>
        <w:t xml:space="preserve">Données &amp; architecture</w:t>
      </w:r>
      <w:r>
        <w:rPr>
          <w:b w:val="false"/>
          <w:bCs w:val="false"/>
          <w:color w:val="888888"/>
          <w:sz w:val="22"/>
          <w:szCs w:val="22"/>
        </w:rPr>
        <w:t xml:space="preserve">  (~5)</w:t>
      </w:r>
    </w:p>
    <w:p>
      <w:pPr>
        <w:spacing w:after="80"/>
        <w:jc w:val="both"/>
      </w:pPr>
      <w:r>
        <w:rPr>
          <w:b/>
          <w:bCs/>
        </w:rPr>
        <w:t xml:space="preserve">Mission : </w:t>
      </w:r>
      <w:r>
        <w:t xml:space="preserve">Construire le socle de données commun au web et, plus tard, au mobile.</w:t>
      </w:r>
    </w:p>
    <w:p>
      <w:pPr>
        <w:pStyle w:val="ListParagraph"/>
        <w:numPr>
          <w:ilvl w:val="0"/>
          <w:numId w:val="2"/>
        </w:numPr>
        <w:spacing w:after="50"/>
      </w:pPr>
      <w:r>
        <w:rPr>
          <w:b/>
          <w:bCs/>
        </w:rPr>
        <w:t xml:space="preserve">Démarrage (Étape 0) : </w:t>
      </w:r>
      <w:r>
        <w:t xml:space="preserve">implémenter le schéma de données ; créer le module « dépôt » (qui isole l’accès aux données) ; écrire le script d’import du contenu vers la base ; préparer un jeu de données de test.</w:t>
      </w:r>
    </w:p>
    <w:p>
      <w:pPr>
        <w:pStyle w:val="ListParagraph"/>
        <w:numPr>
          <w:ilvl w:val="0"/>
          <w:numId w:val="2"/>
        </w:numPr>
        <w:spacing w:after="50"/>
      </w:pPr>
      <w:r>
        <w:rPr>
          <w:b/>
          <w:bCs/>
        </w:rPr>
        <w:t xml:space="preserve">Vers le premier jalon : </w:t>
      </w:r>
      <w:r>
        <w:t xml:space="preserve">fournir au frontend l’accès aux questions du chapitre pilote via le dépôt.</w:t>
      </w:r>
    </w:p>
    <w:p>
      <w:pPr>
        <w:pStyle w:val="ListParagraph"/>
        <w:numPr>
          <w:ilvl w:val="0"/>
          <w:numId w:val="2"/>
        </w:numPr>
        <w:spacing w:after="50"/>
      </w:pPr>
      <w:r>
        <w:rPr>
          <w:b/>
          <w:bCs/>
        </w:rPr>
        <w:t xml:space="preserve">Ensuite : </w:t>
      </w:r>
      <w:r>
        <w:t xml:space="preserve">faire évoluer le schéma selon les besoins ; veiller à ce que le dépôt soit prêt à communiquer avec un serveur (pour la future synchronisation).</w:t>
      </w:r>
    </w:p>
    <w:p>
      <w:pPr>
        <w:spacing w:after="60"/>
      </w:pPr>
      <w:r>
        <w:t xml:space="preserve"/>
      </w:r>
    </w:p>
    <w:p>
      <w:pPr>
        <w:pStyle w:val="Heading2"/>
      </w:pPr>
      <w:r>
        <w:t xml:space="preserve">Frontend web</w:t>
      </w:r>
      <w:r>
        <w:rPr>
          <w:b w:val="false"/>
          <w:bCs w:val="false"/>
          <w:color w:val="888888"/>
          <w:sz w:val="22"/>
          <w:szCs w:val="22"/>
        </w:rPr>
        <w:t xml:space="preserve">  (~16, en 3 sous-équipes)</w:t>
      </w:r>
    </w:p>
    <w:p>
      <w:pPr>
        <w:spacing w:after="80"/>
        <w:jc w:val="both"/>
      </w:pPr>
      <w:r>
        <w:rPr>
          <w:b/>
          <w:bCs/>
        </w:rPr>
        <w:t xml:space="preserve">Mission : </w:t>
      </w:r>
      <w:r>
        <w:t xml:space="preserve">Construire l’interface web et les écrans de jeu.</w:t>
      </w:r>
    </w:p>
    <w:p>
      <w:pPr>
        <w:pStyle w:val="ListParagraph"/>
        <w:numPr>
          <w:ilvl w:val="0"/>
          <w:numId w:val="2"/>
        </w:numPr>
        <w:spacing w:after="50"/>
      </w:pPr>
      <w:r>
        <w:rPr>
          <w:b/>
          <w:bCs/>
        </w:rPr>
        <w:t xml:space="preserve">Démarrage (Étape 0) : </w:t>
      </w:r>
      <w:r>
        <w:t xml:space="preserve">mettre en place le projet Vue.js et l’arborescence ; intégrer les premières maquettes ; chaque sous-équipe se forme sur sa partie.</w:t>
      </w:r>
    </w:p>
    <w:p>
      <w:pPr>
        <w:pStyle w:val="ListParagraph"/>
        <w:numPr>
          <w:ilvl w:val="0"/>
          <w:numId w:val="2"/>
        </w:numPr>
        <w:spacing w:after="50"/>
      </w:pPr>
      <w:r>
        <w:rPr>
          <w:b/>
          <w:bCs/>
        </w:rPr>
        <w:t xml:space="preserve">Vers le premier jalon : </w:t>
      </w:r>
      <w:r>
        <w:t xml:space="preserve">Sous-équipe A : moteur de jeu, écran de quiz, minuteurs et les trois modes. Sous-équipe B : accueil, sélection niveau→matière→chapitre, lecteur de cartes mentales. Sous-équipe C : inscription / connexion (via l’API), écran de résultats.</w:t>
      </w:r>
    </w:p>
    <w:p>
      <w:pPr>
        <w:pStyle w:val="ListParagraph"/>
        <w:numPr>
          <w:ilvl w:val="0"/>
          <w:numId w:val="2"/>
        </w:numPr>
        <w:spacing w:after="50"/>
      </w:pPr>
      <w:r>
        <w:rPr>
          <w:b/>
          <w:bCs/>
        </w:rPr>
        <w:t xml:space="preserve">Ensuite : </w:t>
      </w:r>
      <w:r>
        <w:t xml:space="preserve">soigner l’interface, ajouter les écrans de classements, élargir aux nouveaux contenus.</w:t>
      </w:r>
    </w:p>
    <w:p>
      <w:pPr>
        <w:spacing w:after="60"/>
      </w:pPr>
      <w:r>
        <w:t xml:space="preserve"/>
      </w:r>
    </w:p>
    <w:p>
      <w:pPr>
        <w:pStyle w:val="Heading2"/>
      </w:pPr>
      <w:r>
        <w:t xml:space="preserve">Backend</w:t>
      </w:r>
      <w:r>
        <w:rPr>
          <w:b w:val="false"/>
          <w:bCs w:val="false"/>
          <w:color w:val="888888"/>
          <w:sz w:val="22"/>
          <w:szCs w:val="22"/>
        </w:rPr>
        <w:t xml:space="preserve">  (~10, en 2 cellules)</w:t>
      </w:r>
    </w:p>
    <w:p>
      <w:pPr>
        <w:spacing w:after="80"/>
        <w:jc w:val="both"/>
      </w:pPr>
      <w:r>
        <w:rPr>
          <w:b/>
          <w:bCs/>
        </w:rPr>
        <w:t xml:space="preserve">Mission : </w:t>
      </w:r>
      <w:r>
        <w:t xml:space="preserve">Fournir le serveur, les comptes et l’API dont dépend la version web.</w:t>
      </w:r>
    </w:p>
    <w:p>
      <w:pPr>
        <w:pStyle w:val="ListParagraph"/>
        <w:numPr>
          <w:ilvl w:val="0"/>
          <w:numId w:val="2"/>
        </w:numPr>
        <w:spacing w:after="50"/>
      </w:pPr>
      <w:r>
        <w:rPr>
          <w:b/>
          <w:bCs/>
        </w:rPr>
        <w:t xml:space="preserve">Démarrage (Étape 0) : </w:t>
      </w:r>
      <w:r>
        <w:t xml:space="preserve">choisir la technologie serveur et la base de données ; définir le contrat d’API avec le frontend ; mettre en place un serveur de développement.</w:t>
      </w:r>
    </w:p>
    <w:p>
      <w:pPr>
        <w:pStyle w:val="ListParagraph"/>
        <w:numPr>
          <w:ilvl w:val="0"/>
          <w:numId w:val="2"/>
        </w:numPr>
        <w:spacing w:after="50"/>
      </w:pPr>
      <w:r>
        <w:rPr>
          <w:b/>
          <w:bCs/>
        </w:rPr>
        <w:t xml:space="preserve">Vers le premier jalon : </w:t>
      </w:r>
      <w:r>
        <w:t xml:space="preserve">Cellule API/comptes (6) : API selon le contrat, comptes, authentification, sauvegarde et lecture de la progression. Cellule synchronisation (4) : concevoir comment la progression remontera depuis le mobile (gestion des conflits, connexions interrompues).</w:t>
      </w:r>
    </w:p>
    <w:p>
      <w:pPr>
        <w:pStyle w:val="ListParagraph"/>
        <w:numPr>
          <w:ilvl w:val="0"/>
          <w:numId w:val="2"/>
        </w:numPr>
        <w:spacing w:after="50"/>
      </w:pPr>
      <w:r>
        <w:rPr>
          <w:b/>
          <w:bCs/>
        </w:rPr>
        <w:t xml:space="preserve">Ensuite : </w:t>
      </w:r>
      <w:r>
        <w:t xml:space="preserve">ajouter les classements (par ville, matière, niveau) ; prototyper la synchronisation en vue de la phase mobile.</w:t>
      </w:r>
    </w:p>
    <w:p>
      <w:pPr>
        <w:spacing w:after="60"/>
      </w:pPr>
      <w:r>
        <w:t xml:space="preserve"/>
      </w:r>
    </w:p>
    <w:p>
      <w:pPr>
        <w:pStyle w:val="Heading2"/>
      </w:pPr>
      <w:r>
        <w:t xml:space="preserve">Design / UX</w:t>
      </w:r>
      <w:r>
        <w:rPr>
          <w:b w:val="false"/>
          <w:bCs w:val="false"/>
          <w:color w:val="888888"/>
          <w:sz w:val="22"/>
          <w:szCs w:val="22"/>
        </w:rPr>
        <w:t xml:space="preserve">  (~4)</w:t>
      </w:r>
    </w:p>
    <w:p>
      <w:pPr>
        <w:spacing w:after="80"/>
        <w:jc w:val="both"/>
      </w:pPr>
      <w:r>
        <w:rPr>
          <w:b/>
          <w:bCs/>
        </w:rPr>
        <w:t xml:space="preserve">Mission : </w:t>
      </w:r>
      <w:r>
        <w:t xml:space="preserve">Donner à l’application une interface claire et cohérente, adaptée aux élèves.</w:t>
      </w:r>
    </w:p>
    <w:p>
      <w:pPr>
        <w:pStyle w:val="ListParagraph"/>
        <w:numPr>
          <w:ilvl w:val="0"/>
          <w:numId w:val="2"/>
        </w:numPr>
        <w:spacing w:after="50"/>
      </w:pPr>
      <w:r>
        <w:rPr>
          <w:b/>
          <w:bCs/>
        </w:rPr>
        <w:t xml:space="preserve">Démarrage (Étape 0) : </w:t>
      </w:r>
      <w:r>
        <w:t xml:space="preserve">produire les maquettes des écrans clés (accueil, sélection, quiz, résultats, comptes) et l’identité visuelle ; les livrer tôt au frontend.</w:t>
      </w:r>
    </w:p>
    <w:p>
      <w:pPr>
        <w:pStyle w:val="ListParagraph"/>
        <w:numPr>
          <w:ilvl w:val="0"/>
          <w:numId w:val="2"/>
        </w:numPr>
        <w:spacing w:after="50"/>
      </w:pPr>
      <w:r>
        <w:rPr>
          <w:b/>
          <w:bCs/>
        </w:rPr>
        <w:t xml:space="preserve">Vers le premier jalon : </w:t>
      </w:r>
      <w:r>
        <w:t xml:space="preserve">ajuster les maquettes selon les retours des développeurs et des tests.</w:t>
      </w:r>
    </w:p>
    <w:p>
      <w:pPr>
        <w:pStyle w:val="ListParagraph"/>
        <w:numPr>
          <w:ilvl w:val="0"/>
          <w:numId w:val="2"/>
        </w:numPr>
        <w:spacing w:after="50"/>
      </w:pPr>
      <w:r>
        <w:rPr>
          <w:b/>
          <w:bCs/>
        </w:rPr>
        <w:t xml:space="preserve">Ensuite : </w:t>
      </w:r>
      <w:r>
        <w:t xml:space="preserve">préparer l’adaptation de l’interface pour la version mobile.</w:t>
      </w:r>
    </w:p>
    <w:p>
      <w:pPr>
        <w:spacing w:after="60"/>
      </w:pPr>
      <w:r>
        <w:t xml:space="preserve"/>
      </w:r>
    </w:p>
    <w:p>
      <w:pPr>
        <w:pStyle w:val="Heading2"/>
      </w:pPr>
      <w:r>
        <w:t xml:space="preserve">Assurance qualité / tests</w:t>
      </w:r>
      <w:r>
        <w:rPr>
          <w:b w:val="false"/>
          <w:bCs w:val="false"/>
          <w:color w:val="888888"/>
          <w:sz w:val="22"/>
          <w:szCs w:val="22"/>
        </w:rPr>
        <w:t xml:space="preserve">  (~4)</w:t>
      </w:r>
    </w:p>
    <w:p>
      <w:pPr>
        <w:spacing w:after="80"/>
        <w:jc w:val="both"/>
      </w:pPr>
      <w:r>
        <w:rPr>
          <w:b/>
          <w:bCs/>
        </w:rPr>
        <w:t xml:space="preserve">Mission : </w:t>
      </w:r>
      <w:r>
        <w:t xml:space="preserve">Garantir que ce qui est livré fonctionne vraiment.</w:t>
      </w:r>
    </w:p>
    <w:p>
      <w:pPr>
        <w:pStyle w:val="ListParagraph"/>
        <w:numPr>
          <w:ilvl w:val="0"/>
          <w:numId w:val="2"/>
        </w:numPr>
        <w:spacing w:after="50"/>
      </w:pPr>
      <w:r>
        <w:rPr>
          <w:b/>
          <w:bCs/>
        </w:rPr>
        <w:t xml:space="preserve">Démarrage (Étape 0) : </w:t>
      </w:r>
      <w:r>
        <w:t xml:space="preserve">définir la stratégie de test ; mettre en place les tests unitaires de base et la vérification automatique sur GitHub.</w:t>
      </w:r>
    </w:p>
    <w:p>
      <w:pPr>
        <w:pStyle w:val="ListParagraph"/>
        <w:numPr>
          <w:ilvl w:val="0"/>
          <w:numId w:val="2"/>
        </w:numPr>
        <w:spacing w:after="50"/>
      </w:pPr>
      <w:r>
        <w:rPr>
          <w:b/>
          <w:bCs/>
        </w:rPr>
        <w:t xml:space="preserve">Vers le premier jalon : </w:t>
      </w:r>
      <w:r>
        <w:t xml:space="preserve">tester la tranche verticale de bout en bout sur plusieurs navigateurs ; remonter les anomalies de manière claire.</w:t>
      </w:r>
    </w:p>
    <w:p>
      <w:pPr>
        <w:pStyle w:val="ListParagraph"/>
        <w:numPr>
          <w:ilvl w:val="0"/>
          <w:numId w:val="2"/>
        </w:numPr>
        <w:spacing w:after="50"/>
      </w:pPr>
      <w:r>
        <w:rPr>
          <w:b/>
          <w:bCs/>
        </w:rPr>
        <w:t xml:space="preserve">Ensuite : </w:t>
      </w:r>
      <w:r>
        <w:t xml:space="preserve">tester sur de vrais appareils ; accueillir des membres en rotation pour faire découvrir cette facette.</w:t>
      </w:r>
    </w:p>
    <w:p>
      <w:pPr>
        <w:spacing w:after="60"/>
      </w:pPr>
      <w:r>
        <w:t xml:space="preserve"/>
      </w:r>
    </w:p>
    <w:p>
      <w:pPr>
        <w:pStyle w:val="Heading1"/>
        <w:pageBreakBefore/>
      </w:pPr>
      <w:r>
        <w:t xml:space="preserve">5. Jalons et conditions de réussite</w:t>
      </w:r>
    </w:p>
    <w:p>
      <w:pPr>
        <w:spacing w:after="120"/>
        <w:jc w:val="both"/>
      </w:pPr>
      <w:r>
        <w:t xml:space="preserve">Un jalon n’est atteint que lorsque toutes ses conditions sont remplies. Cela évite de se disperser et donne un cap commun à tous les groupes.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b/>
                <w:bCs/>
                <w:color w:val="FFFFFF"/>
                <w:sz w:val="20"/>
                <w:szCs w:val="20"/>
              </w:rPr>
              <w:t xml:space="preserve">Jalon</w:t>
            </w:r>
          </w:p>
        </w:tc>
        <w:tc>
          <w:tcPr>
            <w:tcW w:type="dxa" w:w="676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b/>
                <w:bCs/>
                <w:color w:val="FFFFFF"/>
                <w:sz w:val="20"/>
                <w:szCs w:val="20"/>
              </w:rPr>
              <w:t xml:space="preserve">Atteint lorsque…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Étape 0 — Fondations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 schéma de questions et le contrat d’API sont figés ; le dépôt et les environnements fonctionnent ; les premières maquettes existent ; le chapitre pilote est choisi et son contenu est en cours.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Jalon 1 — Tranche verticale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Un élève peut créer un compte, choisir le chapitre pilote, jouer les trois modes, voir son score et ses corrections, et retrouver sa progression — le tout en ligne et testé.</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Jalon 2 — Élargissement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Plusieurs chapitres et matières sont disponibles ; les cartes mentales fonctionnent ; l’interface est soignée.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Jalon 3 — En ligne avancé</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Les classements par ville, matière et niveau fonctionnent ; la conception de la synchronisation est prête pour la phase mobile.</w:t>
            </w:r>
          </w:p>
        </w:tc>
      </w:tr>
    </w:tbl>
    <w:p>
      <w:pPr>
        <w:pStyle w:val="Heading1"/>
      </w:pPr>
      <w:r>
        <w:t xml:space="preserve">6. Rituels et règles communes</w:t>
      </w:r>
    </w:p>
    <w:p>
      <w:pPr>
        <w:pStyle w:val="ListParagraph"/>
        <w:numPr>
          <w:ilvl w:val="0"/>
          <w:numId w:val="2"/>
        </w:numPr>
        <w:spacing w:after="50"/>
      </w:pPr>
      <w:r>
        <w:rPr>
          <w:b/>
          <w:bCs/>
        </w:rPr>
        <w:t xml:space="preserve">Cycles de deux semaines : </w:t>
      </w:r>
      <w:r>
        <w:t xml:space="preserve">à la fin de chaque cycle, chaque groupe fait un court point sur ce qui a avancé et ce qui bloque.</w:t>
      </w:r>
    </w:p>
    <w:p>
      <w:pPr>
        <w:pStyle w:val="ListParagraph"/>
        <w:numPr>
          <w:ilvl w:val="0"/>
          <w:numId w:val="2"/>
        </w:numPr>
        <w:spacing w:after="50"/>
      </w:pPr>
      <w:r>
        <w:rPr>
          <w:b/>
          <w:bCs/>
        </w:rPr>
        <w:t xml:space="preserve">Point de coordination hebdomadaire : </w:t>
      </w:r>
      <w:r>
        <w:t xml:space="preserve">les référents et le responsable se réunissent pour aligner les groupes et lever les blocages.</w:t>
      </w:r>
    </w:p>
    <w:p>
      <w:pPr>
        <w:pStyle w:val="ListParagraph"/>
        <w:numPr>
          <w:ilvl w:val="0"/>
          <w:numId w:val="2"/>
        </w:numPr>
        <w:spacing w:after="50"/>
      </w:pPr>
      <w:r>
        <w:rPr>
          <w:b/>
          <w:bCs/>
        </w:rPr>
        <w:t xml:space="preserve">Tableau de tâches : </w:t>
      </w:r>
      <w:r>
        <w:t xml:space="preserve">les tâches sont listées sur GitHub. On prend une tâche en se l’attribuant, on la réalise en binôme, puis on propose une pull request.</w:t>
      </w:r>
    </w:p>
    <w:p>
      <w:pPr>
        <w:pStyle w:val="ListParagraph"/>
        <w:numPr>
          <w:ilvl w:val="0"/>
          <w:numId w:val="2"/>
        </w:numPr>
        <w:spacing w:after="50"/>
      </w:pPr>
      <w:r>
        <w:rPr>
          <w:b/>
          <w:bCs/>
        </w:rPr>
        <w:t xml:space="preserve">Revue avant intégration : </w:t>
      </w:r>
      <w:r>
        <w:t xml:space="preserve">aucune contribution n’est fusionnée sans relecture. C’est notre principal outil d’apprentissage et de qualité.</w:t>
      </w:r>
    </w:p>
    <w:p>
      <w:pPr>
        <w:pStyle w:val="ListParagraph"/>
        <w:numPr>
          <w:ilvl w:val="0"/>
          <w:numId w:val="2"/>
        </w:numPr>
        <w:spacing w:after="50"/>
      </w:pPr>
      <w:r>
        <w:rPr>
          <w:b/>
          <w:bCs/>
        </w:rPr>
        <w:t xml:space="preserve">Gestion des absences : </w:t>
      </w:r>
      <w:r>
        <w:t xml:space="preserve">comme les tâches sont petites et faites en binôme, l’absence d’une personne ne bloque jamais une fonctionnalité entière.</w:t>
      </w:r>
    </w:p>
    <w:p>
      <w:pPr>
        <w:pStyle w:val="Heading1"/>
      </w:pPr>
      <w:r>
        <w:t xml:space="preserve">7. À démarrer dès cette semaine</w:t>
      </w:r>
    </w:p>
    <w:p>
      <w:pPr>
        <w:spacing w:after="120"/>
        <w:jc w:val="both"/>
      </w:pPr>
      <w:r>
        <w:t xml:space="preserve">Pour lancer concrètement la phase 1, voici la première action de chaque groupe :</w:t>
      </w:r>
    </w:p>
    <w:p>
      <w:pPr>
        <w:pStyle w:val="ListParagraph"/>
        <w:numPr>
          <w:ilvl w:val="0"/>
          <w:numId w:val="2"/>
        </w:numPr>
        <w:spacing w:after="40"/>
      </w:pPr>
      <w:r>
        <w:t xml:space="preserve">Coordination : créer le dépôt GitHub et organiser la réunion de cadrage des deux contrats.</w:t>
      </w:r>
    </w:p>
    <w:p>
      <w:pPr>
        <w:pStyle w:val="ListParagraph"/>
        <w:numPr>
          <w:ilvl w:val="0"/>
          <w:numId w:val="2"/>
        </w:numPr>
        <w:spacing w:after="40"/>
      </w:pPr>
      <w:r>
        <w:t xml:space="preserve">Contenu : commencer le tri de la banque existante et proposer un chapitre pilote.</w:t>
      </w:r>
    </w:p>
    <w:p>
      <w:pPr>
        <w:pStyle w:val="ListParagraph"/>
        <w:numPr>
          <w:ilvl w:val="0"/>
          <w:numId w:val="2"/>
        </w:numPr>
        <w:spacing w:after="40"/>
      </w:pPr>
      <w:r>
        <w:t xml:space="preserve">Données &amp; architecture : rédiger une première version du schéma de données.</w:t>
      </w:r>
    </w:p>
    <w:p>
      <w:pPr>
        <w:pStyle w:val="ListParagraph"/>
        <w:numPr>
          <w:ilvl w:val="0"/>
          <w:numId w:val="2"/>
        </w:numPr>
        <w:spacing w:after="40"/>
      </w:pPr>
      <w:r>
        <w:t xml:space="preserve">Frontend : installer l’environnement Vue.js et se répartir en trois sous-équipes.</w:t>
      </w:r>
    </w:p>
    <w:p>
      <w:pPr>
        <w:pStyle w:val="ListParagraph"/>
        <w:numPr>
          <w:ilvl w:val="0"/>
          <w:numId w:val="2"/>
        </w:numPr>
        <w:spacing w:after="40"/>
      </w:pPr>
      <w:r>
        <w:t xml:space="preserve">Backend : comparer les options de serveur et de base de données, et amorcer le contrat d’API avec le frontend.</w:t>
      </w:r>
    </w:p>
    <w:p>
      <w:pPr>
        <w:pStyle w:val="ListParagraph"/>
        <w:numPr>
          <w:ilvl w:val="0"/>
          <w:numId w:val="2"/>
        </w:numPr>
        <w:spacing w:after="40"/>
      </w:pPr>
      <w:r>
        <w:t xml:space="preserve">Design : esquisser les maquettes de l’écran d’accueil et de l’écran de quiz.</w:t>
      </w:r>
    </w:p>
    <w:p>
      <w:pPr>
        <w:pStyle w:val="ListParagraph"/>
        <w:numPr>
          <w:ilvl w:val="0"/>
          <w:numId w:val="2"/>
        </w:numPr>
        <w:spacing w:after="40"/>
      </w:pPr>
      <w:r>
        <w:t xml:space="preserve">Tests : mettre en place la vérification automatique sur le dépôt.</w:t>
      </w:r>
    </w:p>
    <w:p>
      <w:pPr>
        <w:spacing w:before="120"/>
        <w:jc w:val="both"/>
      </w:pPr>
      <w:r>
        <w:rPr>
          <w:i/>
          <w:iCs/>
          <w:color w:val="555555"/>
        </w:rPr>
        <w:t xml:space="preserve">Rappel : on vise d’abord la tranche verticale. Mieux vaut une petite chose qui marche complètement que beaucoup de morceaux inachevés.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8"/>
        <w:szCs w:val="18"/>
      </w:rPr>
      <w:t xml:space="preserve">Coding Club ISTEAH — Projet #1</w:t>
    </w:r>
    <w:r>
      <w:rPr>
        <w:color w:val="888888"/>
        <w:sz w:val="18"/>
        <w:szCs w:val="18"/>
      </w:rPr>
      <w:t xml:space="preserve">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4" w:space="4"/>
      </w:pBdr>
      <w:tabs>
        <w:tab w:val="right" w:pos="9026"/>
      </w:tabs>
    </w:pPr>
    <w:r>
      <w:rPr>
        <w:color w:val="2E5C8A"/>
        <w:sz w:val="18"/>
        <w:szCs w:val="18"/>
      </w:rPr>
      <w:t xml:space="preserve">Projet Quiz Éducatif</w:t>
    </w:r>
    <w:r>
      <w:rPr>
        <w:color w:val="888888"/>
        <w:sz w:val="18"/>
        <w:szCs w:val="18"/>
      </w:rPr>
      <w:t xml:space="preserve">	Plan de travail — Phase 1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C8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Coding Club ISTEAH</dc:creator>
  <cp:lastModifiedBy>Un-named</cp:lastModifiedBy>
  <cp:revision>1</cp:revision>
  <dcterms:created xsi:type="dcterms:W3CDTF">2026-06-25T16:33:54.649Z</dcterms:created>
  <dcterms:modified xsi:type="dcterms:W3CDTF">2026-06-25T16:33:54.649Z</dcterms:modified>
</cp:coreProperties>
</file>

<file path=docProps/custom.xml><?xml version="1.0" encoding="utf-8"?>
<Properties xmlns="http://schemas.openxmlformats.org/officeDocument/2006/custom-properties" xmlns:vt="http://schemas.openxmlformats.org/officeDocument/2006/docPropsVTypes"/>
</file>