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5000" w:type="pct"/>
        <w:tblCellMar>
          <w:top w:w="15" w:type="dxa"/>
          <w:left w:w="15" w:type="dxa"/>
          <w:bottom w:w="15" w:type="dxa"/>
          <w:right w:w="15" w:type="dxa"/>
        </w:tblCellMar>
        <w:tblLook w:val="04A0" w:firstRow="1" w:lastRow="0" w:firstColumn="1" w:lastColumn="0" w:noHBand="0" w:noVBand="1"/>
      </w:tblPr>
      <w:tblGrid>
        <w:gridCol w:w="4703"/>
        <w:gridCol w:w="4703"/>
      </w:tblGrid>
      <w:tr w:rsidR="0005623A" w14:paraId="4EA5FF8C" w14:textId="77777777">
        <w:tc>
          <w:tcPr>
            <w:tcW w:w="2500" w:type="pct"/>
            <w:tcBorders>
              <w:top w:val="nil"/>
              <w:left w:val="nil"/>
              <w:bottom w:val="nil"/>
              <w:right w:val="nil"/>
            </w:tcBorders>
            <w:tcMar>
              <w:top w:w="100" w:type="dxa"/>
              <w:left w:w="160" w:type="dxa"/>
              <w:bottom w:w="100" w:type="dxa"/>
              <w:right w:w="160" w:type="dxa"/>
            </w:tcMar>
            <w:hideMark/>
          </w:tcPr>
          <w:p w14:paraId="7A58C353" w14:textId="77777777" w:rsidR="007C3D73" w:rsidRDefault="007C3D73">
            <w:pPr>
              <w:spacing w:before="200" w:after="600"/>
              <w:rPr>
                <w:rFonts w:eastAsia="Times New Roman"/>
                <w:sz w:val="22"/>
                <w:szCs w:val="22"/>
              </w:rPr>
            </w:pPr>
            <w:r>
              <w:rPr>
                <w:rFonts w:eastAsia="Times New Roman"/>
                <w:sz w:val="22"/>
                <w:szCs w:val="22"/>
              </w:rPr>
              <w:t>Business, Society and Technology</w:t>
            </w:r>
            <w:r>
              <w:rPr>
                <w:rFonts w:eastAsia="Times New Roman"/>
                <w:sz w:val="22"/>
                <w:szCs w:val="22"/>
              </w:rPr>
              <w:br/>
              <w:t xml:space="preserve">IFE, 3rd semester </w:t>
            </w:r>
          </w:p>
        </w:tc>
        <w:tc>
          <w:tcPr>
            <w:tcW w:w="0" w:type="auto"/>
            <w:tcBorders>
              <w:top w:val="nil"/>
              <w:left w:val="nil"/>
              <w:bottom w:val="nil"/>
              <w:right w:val="nil"/>
            </w:tcBorders>
            <w:tcMar>
              <w:top w:w="100" w:type="dxa"/>
              <w:left w:w="160" w:type="dxa"/>
              <w:bottom w:w="100" w:type="dxa"/>
              <w:right w:w="160" w:type="dxa"/>
            </w:tcMar>
            <w:hideMark/>
          </w:tcPr>
          <w:p w14:paraId="3A4A4781" w14:textId="77777777" w:rsidR="007C3D73" w:rsidRDefault="007C3D73">
            <w:pPr>
              <w:spacing w:before="200" w:after="600"/>
              <w:jc w:val="right"/>
              <w:rPr>
                <w:rFonts w:eastAsia="Times New Roman"/>
                <w:sz w:val="22"/>
                <w:szCs w:val="22"/>
              </w:rPr>
            </w:pPr>
            <w:r>
              <w:rPr>
                <w:rFonts w:eastAsia="Times New Roman"/>
                <w:sz w:val="22"/>
                <w:szCs w:val="22"/>
              </w:rPr>
              <w:t>LAB REPORT</w:t>
            </w:r>
            <w:r>
              <w:rPr>
                <w:rFonts w:eastAsia="Times New Roman"/>
                <w:sz w:val="22"/>
                <w:szCs w:val="22"/>
              </w:rPr>
              <w:br/>
              <w:t xml:space="preserve">MANUFACTURING </w:t>
            </w:r>
          </w:p>
        </w:tc>
      </w:tr>
    </w:tbl>
    <w:p w14:paraId="514975F9" w14:textId="77777777" w:rsidR="007C3D73" w:rsidRDefault="007C3D73">
      <w:pPr>
        <w:rPr>
          <w:rFonts w:eastAsia="Times New Roman"/>
          <w:vanis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695"/>
        <w:gridCol w:w="4695"/>
      </w:tblGrid>
      <w:tr w:rsidR="0005623A" w14:paraId="12CE3570" w14:textId="77777777">
        <w:tc>
          <w:tcPr>
            <w:tcW w:w="2500" w:type="pc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A3FC2AD" w14:textId="77777777" w:rsidR="007C3D73" w:rsidRDefault="007C3D73">
            <w:pPr>
              <w:spacing w:before="200" w:after="400"/>
              <w:jc w:val="center"/>
              <w:rPr>
                <w:rFonts w:eastAsia="Times New Roman"/>
                <w:sz w:val="22"/>
                <w:szCs w:val="22"/>
              </w:rPr>
            </w:pPr>
            <w:r>
              <w:rPr>
                <w:rFonts w:eastAsia="Times New Roman"/>
                <w:sz w:val="22"/>
                <w:szCs w:val="22"/>
              </w:rPr>
              <w:t>Lab no. 12</w:t>
            </w:r>
          </w:p>
        </w:tc>
        <w:tc>
          <w:tcPr>
            <w:tcW w:w="2500" w:type="pc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B1C2BEE" w14:textId="77777777" w:rsidR="007C3D73" w:rsidRDefault="007C3D73">
            <w:pPr>
              <w:spacing w:before="200" w:after="400"/>
              <w:jc w:val="center"/>
              <w:rPr>
                <w:rFonts w:eastAsia="Times New Roman"/>
                <w:sz w:val="22"/>
                <w:szCs w:val="22"/>
              </w:rPr>
            </w:pPr>
            <w:r>
              <w:rPr>
                <w:rFonts w:eastAsia="Times New Roman"/>
                <w:sz w:val="22"/>
                <w:szCs w:val="22"/>
              </w:rPr>
              <w:t>Title: Welding Technologies and Devices</w:t>
            </w:r>
          </w:p>
        </w:tc>
      </w:tr>
      <w:tr w:rsidR="0005623A" w14:paraId="5FC136DF" w14:textId="77777777">
        <w:tc>
          <w:tcPr>
            <w:tcW w:w="0" w:type="auto"/>
            <w:gridSpan w:val="2"/>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BE4B35A" w14:textId="77777777" w:rsidR="007C3D73" w:rsidRDefault="007C3D73">
            <w:pPr>
              <w:spacing w:before="200" w:after="400"/>
              <w:jc w:val="center"/>
              <w:rPr>
                <w:rFonts w:eastAsia="Times New Roman"/>
                <w:sz w:val="22"/>
                <w:szCs w:val="22"/>
              </w:rPr>
            </w:pPr>
            <w:r>
              <w:rPr>
                <w:rFonts w:eastAsia="Times New Roman"/>
                <w:sz w:val="22"/>
                <w:szCs w:val="22"/>
              </w:rPr>
              <w:t>Date of lab: 07/11/2025</w:t>
            </w:r>
          </w:p>
        </w:tc>
      </w:tr>
    </w:tbl>
    <w:p w14:paraId="1262E52D" w14:textId="77777777" w:rsidR="007C3D73" w:rsidRDefault="007C3D73">
      <w:pPr>
        <w:rPr>
          <w:rFonts w:eastAsia="Times New Roman"/>
          <w:vanish/>
        </w:rPr>
      </w:pPr>
    </w:p>
    <w:tbl>
      <w:tblPr>
        <w:tblW w:w="5000" w:type="pct"/>
        <w:tblCellMar>
          <w:top w:w="15" w:type="dxa"/>
          <w:left w:w="15" w:type="dxa"/>
          <w:bottom w:w="15" w:type="dxa"/>
          <w:right w:w="15" w:type="dxa"/>
        </w:tblCellMar>
        <w:tblLook w:val="04A0" w:firstRow="1" w:lastRow="0" w:firstColumn="1" w:lastColumn="0" w:noHBand="0" w:noVBand="1"/>
      </w:tblPr>
      <w:tblGrid>
        <w:gridCol w:w="644"/>
        <w:gridCol w:w="3697"/>
        <w:gridCol w:w="2290"/>
        <w:gridCol w:w="2759"/>
      </w:tblGrid>
      <w:tr w:rsidR="0005623A" w14:paraId="500E2AED" w14:textId="77777777">
        <w:tc>
          <w:tcPr>
            <w:tcW w:w="25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76FEB2DB" w14:textId="77777777" w:rsidR="007C3D73" w:rsidRDefault="007C3D73">
            <w:pPr>
              <w:spacing w:before="200" w:after="600"/>
              <w:jc w:val="center"/>
              <w:rPr>
                <w:rFonts w:eastAsia="Times New Roman"/>
                <w:b/>
                <w:bCs/>
                <w:sz w:val="22"/>
                <w:szCs w:val="22"/>
              </w:rPr>
            </w:pPr>
            <w:r>
              <w:rPr>
                <w:rFonts w:eastAsia="Times New Roman"/>
                <w:b/>
                <w:bCs/>
                <w:sz w:val="22"/>
                <w:szCs w:val="22"/>
              </w:rPr>
              <w:t>No.</w:t>
            </w:r>
          </w:p>
        </w:tc>
        <w:tc>
          <w:tcPr>
            <w:tcW w:w="200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24206EA7" w14:textId="77777777" w:rsidR="007C3D73" w:rsidRDefault="007C3D73">
            <w:pPr>
              <w:spacing w:before="200" w:after="600"/>
              <w:jc w:val="center"/>
              <w:rPr>
                <w:rFonts w:eastAsia="Times New Roman"/>
                <w:b/>
                <w:bCs/>
                <w:sz w:val="22"/>
                <w:szCs w:val="22"/>
              </w:rPr>
            </w:pPr>
            <w:r>
              <w:rPr>
                <w:rFonts w:eastAsia="Times New Roman"/>
                <w:b/>
                <w:bCs/>
                <w:sz w:val="22"/>
                <w:szCs w:val="22"/>
              </w:rPr>
              <w:t>SURNAME Name</w:t>
            </w:r>
          </w:p>
        </w:tc>
        <w:tc>
          <w:tcPr>
            <w:tcW w:w="125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0B41B026" w14:textId="77777777" w:rsidR="007C3D73" w:rsidRDefault="007C3D73">
            <w:pPr>
              <w:spacing w:before="200" w:after="600"/>
              <w:jc w:val="center"/>
              <w:rPr>
                <w:rFonts w:eastAsia="Times New Roman"/>
                <w:b/>
                <w:bCs/>
                <w:sz w:val="22"/>
                <w:szCs w:val="22"/>
              </w:rPr>
            </w:pPr>
            <w:r>
              <w:rPr>
                <w:rFonts w:eastAsia="Times New Roman"/>
                <w:b/>
                <w:bCs/>
                <w:sz w:val="22"/>
                <w:szCs w:val="22"/>
              </w:rPr>
              <w:t>Album No.</w:t>
            </w:r>
          </w:p>
        </w:tc>
        <w:tc>
          <w:tcPr>
            <w:tcW w:w="1500" w:type="pct"/>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720F4D1C" w14:textId="77777777" w:rsidR="007C3D73" w:rsidRDefault="007C3D73">
            <w:pPr>
              <w:spacing w:before="200" w:after="600"/>
              <w:jc w:val="center"/>
              <w:rPr>
                <w:rFonts w:eastAsia="Times New Roman"/>
                <w:b/>
                <w:bCs/>
                <w:sz w:val="22"/>
                <w:szCs w:val="22"/>
              </w:rPr>
            </w:pPr>
            <w:r>
              <w:rPr>
                <w:rFonts w:eastAsia="Times New Roman"/>
                <w:b/>
                <w:bCs/>
                <w:sz w:val="22"/>
                <w:szCs w:val="22"/>
              </w:rPr>
              <w:t>Lab group</w:t>
            </w:r>
          </w:p>
        </w:tc>
      </w:tr>
      <w:tr w:rsidR="0005623A" w14:paraId="11CFE2D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A919466" w14:textId="77777777" w:rsidR="007C3D73" w:rsidRDefault="007C3D73">
            <w:pPr>
              <w:spacing w:before="200" w:after="6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DF6DFC6" w14:textId="77777777" w:rsidR="007C3D73" w:rsidRDefault="007C3D73">
            <w:pPr>
              <w:spacing w:before="200" w:after="600"/>
              <w:jc w:val="center"/>
              <w:rPr>
                <w:rFonts w:eastAsia="Times New Roman"/>
                <w:sz w:val="22"/>
                <w:szCs w:val="22"/>
              </w:rPr>
            </w:pPr>
            <w:r>
              <w:rPr>
                <w:rFonts w:eastAsia="Times New Roman"/>
                <w:sz w:val="22"/>
                <w:szCs w:val="22"/>
              </w:rPr>
              <w:t>KOTOWICZ Stanisław</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2F39D27" w14:textId="77777777" w:rsidR="007C3D73" w:rsidRDefault="007C3D73">
            <w:pPr>
              <w:spacing w:before="200" w:after="600"/>
              <w:jc w:val="center"/>
              <w:rPr>
                <w:rFonts w:eastAsia="Times New Roman"/>
                <w:sz w:val="22"/>
                <w:szCs w:val="22"/>
              </w:rPr>
            </w:pPr>
            <w:r>
              <w:rPr>
                <w:rFonts w:eastAsia="Times New Roman"/>
                <w:sz w:val="22"/>
                <w:szCs w:val="22"/>
              </w:rPr>
              <w:t>257100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6E09C10" w14:textId="77777777" w:rsidR="007C3D73" w:rsidRDefault="007C3D73">
            <w:pPr>
              <w:spacing w:before="200" w:after="600"/>
              <w:jc w:val="center"/>
              <w:rPr>
                <w:rFonts w:eastAsia="Times New Roman"/>
                <w:sz w:val="22"/>
                <w:szCs w:val="22"/>
              </w:rPr>
            </w:pPr>
            <w:r>
              <w:rPr>
                <w:rFonts w:eastAsia="Times New Roman"/>
                <w:sz w:val="22"/>
                <w:szCs w:val="22"/>
              </w:rPr>
              <w:t>BST_en_1</w:t>
            </w:r>
          </w:p>
        </w:tc>
      </w:tr>
    </w:tbl>
    <w:p w14:paraId="6F3D0699" w14:textId="77777777" w:rsidR="007C3D73" w:rsidRDefault="007C3D73">
      <w:pPr>
        <w:pStyle w:val="Heading1"/>
        <w:rPr>
          <w:rFonts w:eastAsia="Times New Roman"/>
        </w:rPr>
      </w:pPr>
      <w:r>
        <w:rPr>
          <w:rFonts w:eastAsia="Times New Roman"/>
        </w:rPr>
        <w:t>INTRODUCTION</w:t>
      </w:r>
    </w:p>
    <w:p w14:paraId="13330EE6" w14:textId="77777777" w:rsidR="007C3D73" w:rsidRDefault="007C3D73">
      <w:pPr>
        <w:pStyle w:val="NormalWeb"/>
      </w:pPr>
      <w:r>
        <w:t>Welding is a fabrication process that joins materials, usually metals or thermoplastics, by causing fusion. This is achieved by heating the workpieces to their melting point, with or without the addition of a filler material. Various welding methods exist, each with distinct characteristics, advantages, and applications. This laboratory focused on three primary arc welding methods: Shielded Metal Arc Welding (SMAW/SW), Tungsten Inert Gas (TIG) welding, and Metal Inert Gas (MIG) welding.</w:t>
      </w:r>
    </w:p>
    <w:p w14:paraId="28CF5603" w14:textId="77777777" w:rsidR="007C3D73" w:rsidRDefault="007C3D73">
      <w:pPr>
        <w:pStyle w:val="NormalWeb"/>
      </w:pPr>
      <w:r>
        <w:t>Understanding the differences between welding methods is essential for selecting the appropriate technique for specific applications. Factors such as material type, thickness, required weld quality, production volume, and cost considerations all influence the choice of welding method. Additionally, the heat affected zone (HAZ) created during welding has significant implications for the mechanical properties of the welded joint.</w:t>
      </w:r>
    </w:p>
    <w:p w14:paraId="35237D5E" w14:textId="77777777" w:rsidR="007C3D73" w:rsidRDefault="007C3D73">
      <w:pPr>
        <w:pStyle w:val="Heading1"/>
        <w:rPr>
          <w:rFonts w:eastAsia="Times New Roman"/>
        </w:rPr>
      </w:pPr>
      <w:r>
        <w:rPr>
          <w:rFonts w:eastAsia="Times New Roman"/>
        </w:rPr>
        <w:t>EXPERIMENTAL</w:t>
      </w:r>
    </w:p>
    <w:p w14:paraId="2D8D558B" w14:textId="77777777" w:rsidR="007C3D73" w:rsidRDefault="007C3D73">
      <w:pPr>
        <w:pStyle w:val="Heading2"/>
        <w:rPr>
          <w:rFonts w:eastAsia="Times New Roman"/>
        </w:rPr>
      </w:pPr>
      <w:r>
        <w:rPr>
          <w:rFonts w:eastAsia="Times New Roman"/>
        </w:rPr>
        <w:t>Task 1: Comparison of Welding Methods (SW, TIG, MIG)</w:t>
      </w:r>
    </w:p>
    <w:p w14:paraId="22177988" w14:textId="77777777" w:rsidR="007C3D73" w:rsidRDefault="007C3D73">
      <w:pPr>
        <w:pStyle w:val="NormalWeb"/>
      </w:pPr>
      <w:r>
        <w:t xml:space="preserve">Shielded Metal Arc Welding (SMAW), also known as stick welding (SW), is one of the oldest and most versatile welding processes. In this method, an electric arc is struck between a consumable electrode coated with flux and the workpiece. The flux coating decomposes during welding, </w:t>
      </w:r>
      <w:r>
        <w:lastRenderedPageBreak/>
        <w:t>producing a shielding gas and slag that protect the weld pool from atmospheric contamination. SMAW is widely used due to its simplicity, portability, and ability to weld in various positions. However, it has relatively low deposition rates and requires frequent electrode changes.</w:t>
      </w:r>
    </w:p>
    <w:p w14:paraId="799E2D8B" w14:textId="77777777" w:rsidR="007C3D73" w:rsidRDefault="007C3D73">
      <w:pPr>
        <w:pStyle w:val="NormalWeb"/>
      </w:pPr>
      <w:r>
        <w:t>Tungsten Inert Gas (TIG) welding, also known as Gas Tungsten Arc Welding (GTAW), uses a non-consumable tungsten electrode to produce the arc. A separate filler rod may be added manually if needed. An inert shielding gas, typically argon or helium, protects the weld area from oxidation. TIG welding produces high-quality, clean welds with excellent control over the welding process. It is particularly suitable for thin materials and applications requiring precision, such as aerospace and food industry equipment. However, TIG welding is slower and requires more skill than other methods.</w:t>
      </w:r>
    </w:p>
    <w:p w14:paraId="44463737" w14:textId="77777777" w:rsidR="007C3D73" w:rsidRDefault="007C3D73">
      <w:pPr>
        <w:pStyle w:val="NormalWeb"/>
      </w:pPr>
      <w:r>
        <w:t>Metal Inert Gas (MIG) welding, also known as Gas Metal Arc Welding (GMAW), uses a continuously fed consumable wire electrode and an inert shielding gas. The wire serves as both the electrode and the filler material, allowing for high deposition rates and continuous welding without electrode changes. MIG welding is faster than TIG and easier to learn, making it popular for production environments. It is suitable for a wide range of material thicknesses and provides good weld quality with proper settings.</w:t>
      </w:r>
    </w:p>
    <w:p w14:paraId="54C10D6C" w14:textId="77777777" w:rsidR="007C3D73" w:rsidRDefault="007C3D73">
      <w:pPr>
        <w:pStyle w:val="table-caption"/>
        <w:spacing w:before="200" w:beforeAutospacing="0"/>
      </w:pPr>
      <w:r>
        <w:t>Table 1. Comparison of welding methods</w:t>
      </w:r>
    </w:p>
    <w:tbl>
      <w:tblPr>
        <w:tblW w:w="5000" w:type="pct"/>
        <w:tblCellMar>
          <w:top w:w="15" w:type="dxa"/>
          <w:left w:w="15" w:type="dxa"/>
          <w:bottom w:w="15" w:type="dxa"/>
          <w:right w:w="15" w:type="dxa"/>
        </w:tblCellMar>
        <w:tblLook w:val="04A0" w:firstRow="1" w:lastRow="0" w:firstColumn="1" w:lastColumn="0" w:noHBand="0" w:noVBand="1"/>
      </w:tblPr>
      <w:tblGrid>
        <w:gridCol w:w="2248"/>
        <w:gridCol w:w="2247"/>
        <w:gridCol w:w="2835"/>
        <w:gridCol w:w="2060"/>
      </w:tblGrid>
      <w:tr w:rsidR="0005623A" w14:paraId="5DE5C827"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0D2CDD47" w14:textId="77777777" w:rsidR="007C3D73" w:rsidRDefault="007C3D73">
            <w:pPr>
              <w:spacing w:before="200" w:after="400"/>
              <w:jc w:val="center"/>
              <w:rPr>
                <w:rFonts w:eastAsia="Times New Roman"/>
                <w:b/>
                <w:bCs/>
                <w:sz w:val="22"/>
                <w:szCs w:val="22"/>
              </w:rPr>
            </w:pPr>
            <w:r>
              <w:rPr>
                <w:rFonts w:eastAsia="Times New Roman"/>
                <w:b/>
                <w:bCs/>
                <w:sz w:val="22"/>
                <w:szCs w:val="22"/>
              </w:rPr>
              <w:t>Characteristic</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0D3195A2" w14:textId="77777777" w:rsidR="007C3D73" w:rsidRDefault="007C3D73">
            <w:pPr>
              <w:spacing w:before="200" w:after="400"/>
              <w:jc w:val="center"/>
              <w:rPr>
                <w:rFonts w:eastAsia="Times New Roman"/>
                <w:b/>
                <w:bCs/>
                <w:sz w:val="22"/>
                <w:szCs w:val="22"/>
              </w:rPr>
            </w:pPr>
            <w:r>
              <w:rPr>
                <w:rFonts w:eastAsia="Times New Roman"/>
                <w:b/>
                <w:bCs/>
                <w:sz w:val="22"/>
                <w:szCs w:val="22"/>
              </w:rPr>
              <w:t>SMAW (Stick)</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42461B1A" w14:textId="77777777" w:rsidR="007C3D73" w:rsidRDefault="007C3D73">
            <w:pPr>
              <w:spacing w:before="200" w:after="400"/>
              <w:jc w:val="center"/>
              <w:rPr>
                <w:rFonts w:eastAsia="Times New Roman"/>
                <w:b/>
                <w:bCs/>
                <w:sz w:val="22"/>
                <w:szCs w:val="22"/>
              </w:rPr>
            </w:pPr>
            <w:r>
              <w:rPr>
                <w:rFonts w:eastAsia="Times New Roman"/>
                <w:b/>
                <w:bCs/>
                <w:sz w:val="22"/>
                <w:szCs w:val="22"/>
              </w:rPr>
              <w:t>TIG</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00" w:type="dxa"/>
              <w:left w:w="160" w:type="dxa"/>
              <w:bottom w:w="100" w:type="dxa"/>
              <w:right w:w="160" w:type="dxa"/>
            </w:tcMar>
            <w:vAlign w:val="center"/>
            <w:hideMark/>
          </w:tcPr>
          <w:p w14:paraId="168A9794" w14:textId="77777777" w:rsidR="007C3D73" w:rsidRDefault="007C3D73">
            <w:pPr>
              <w:spacing w:before="200" w:after="400"/>
              <w:jc w:val="center"/>
              <w:rPr>
                <w:rFonts w:eastAsia="Times New Roman"/>
                <w:b/>
                <w:bCs/>
                <w:sz w:val="22"/>
                <w:szCs w:val="22"/>
              </w:rPr>
            </w:pPr>
            <w:r>
              <w:rPr>
                <w:rFonts w:eastAsia="Times New Roman"/>
                <w:b/>
                <w:bCs/>
                <w:sz w:val="22"/>
                <w:szCs w:val="22"/>
              </w:rPr>
              <w:t>MIG</w:t>
            </w:r>
          </w:p>
        </w:tc>
      </w:tr>
      <w:tr w:rsidR="0005623A" w14:paraId="28F0508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33C73A2" w14:textId="77777777" w:rsidR="007C3D73" w:rsidRDefault="007C3D73">
            <w:pPr>
              <w:spacing w:before="200" w:after="400"/>
              <w:rPr>
                <w:rFonts w:eastAsia="Times New Roman"/>
                <w:sz w:val="22"/>
                <w:szCs w:val="22"/>
              </w:rPr>
            </w:pPr>
            <w:r>
              <w:rPr>
                <w:rFonts w:eastAsia="Times New Roman"/>
                <w:sz w:val="22"/>
                <w:szCs w:val="22"/>
              </w:rPr>
              <w:t>Electrode type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12CE42B" w14:textId="77777777" w:rsidR="007C3D73" w:rsidRDefault="007C3D73">
            <w:pPr>
              <w:spacing w:before="200" w:after="400"/>
              <w:jc w:val="center"/>
              <w:rPr>
                <w:rFonts w:eastAsia="Times New Roman"/>
                <w:sz w:val="22"/>
                <w:szCs w:val="22"/>
              </w:rPr>
            </w:pPr>
            <w:r>
              <w:rPr>
                <w:rFonts w:eastAsia="Times New Roman"/>
                <w:sz w:val="22"/>
                <w:szCs w:val="22"/>
              </w:rPr>
              <w:t>Consumable (coated)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23A290D" w14:textId="77777777" w:rsidR="007C3D73" w:rsidRDefault="007C3D73">
            <w:pPr>
              <w:spacing w:before="200" w:after="400"/>
              <w:jc w:val="center"/>
              <w:rPr>
                <w:rFonts w:eastAsia="Times New Roman"/>
                <w:sz w:val="22"/>
                <w:szCs w:val="22"/>
              </w:rPr>
            </w:pPr>
            <w:r>
              <w:rPr>
                <w:rFonts w:eastAsia="Times New Roman"/>
                <w:sz w:val="22"/>
                <w:szCs w:val="22"/>
              </w:rPr>
              <w:t>Non-consumable (tungsten)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C45B2FC" w14:textId="77777777" w:rsidR="007C3D73" w:rsidRDefault="007C3D73">
            <w:pPr>
              <w:spacing w:before="200" w:after="400"/>
              <w:jc w:val="center"/>
              <w:rPr>
                <w:rFonts w:eastAsia="Times New Roman"/>
                <w:sz w:val="22"/>
                <w:szCs w:val="22"/>
              </w:rPr>
            </w:pPr>
            <w:r>
              <w:rPr>
                <w:rFonts w:eastAsia="Times New Roman"/>
                <w:sz w:val="22"/>
                <w:szCs w:val="22"/>
              </w:rPr>
              <w:t>Consumable (wire)</w:t>
            </w:r>
          </w:p>
        </w:tc>
      </w:tr>
      <w:tr w:rsidR="0005623A" w14:paraId="6140A23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64E22DC" w14:textId="77777777" w:rsidR="007C3D73" w:rsidRDefault="007C3D73">
            <w:pPr>
              <w:spacing w:before="200" w:after="400"/>
              <w:rPr>
                <w:rFonts w:eastAsia="Times New Roman"/>
                <w:sz w:val="22"/>
                <w:szCs w:val="22"/>
              </w:rPr>
            </w:pPr>
            <w:r>
              <w:rPr>
                <w:rFonts w:eastAsia="Times New Roman"/>
                <w:sz w:val="22"/>
                <w:szCs w:val="22"/>
              </w:rPr>
              <w:t>Shielding</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E9C2744" w14:textId="77777777" w:rsidR="007C3D73" w:rsidRDefault="007C3D73">
            <w:pPr>
              <w:spacing w:before="200" w:after="400"/>
              <w:jc w:val="center"/>
              <w:rPr>
                <w:rFonts w:eastAsia="Times New Roman"/>
                <w:sz w:val="22"/>
                <w:szCs w:val="22"/>
              </w:rPr>
            </w:pPr>
            <w:r>
              <w:rPr>
                <w:rFonts w:eastAsia="Times New Roman"/>
                <w:sz w:val="22"/>
                <w:szCs w:val="22"/>
              </w:rPr>
              <w:t>Flux coating</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79B3145" w14:textId="77777777" w:rsidR="007C3D73" w:rsidRDefault="007C3D73">
            <w:pPr>
              <w:spacing w:before="200" w:after="400"/>
              <w:jc w:val="center"/>
              <w:rPr>
                <w:rFonts w:eastAsia="Times New Roman"/>
                <w:sz w:val="22"/>
                <w:szCs w:val="22"/>
              </w:rPr>
            </w:pPr>
            <w:r>
              <w:rPr>
                <w:rFonts w:eastAsia="Times New Roman"/>
                <w:sz w:val="22"/>
                <w:szCs w:val="22"/>
              </w:rPr>
              <w:t>Inert gas (</w:t>
            </w:r>
            <w:proofErr w:type="spellStart"/>
            <w:r>
              <w:rPr>
                <w:rFonts w:eastAsia="Times New Roman"/>
                <w:sz w:val="22"/>
                <w:szCs w:val="22"/>
              </w:rPr>
              <w:t>Ar</w:t>
            </w:r>
            <w:proofErr w:type="spellEnd"/>
            <w:r>
              <w:rPr>
                <w:rFonts w:eastAsia="Times New Roman"/>
                <w:sz w:val="22"/>
                <w:szCs w:val="22"/>
              </w:rPr>
              <w:t>, He)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47BE0E8A" w14:textId="77777777" w:rsidR="007C3D73" w:rsidRDefault="007C3D73">
            <w:pPr>
              <w:spacing w:before="200" w:after="400"/>
              <w:jc w:val="center"/>
              <w:rPr>
                <w:rFonts w:eastAsia="Times New Roman"/>
                <w:sz w:val="22"/>
                <w:szCs w:val="22"/>
              </w:rPr>
            </w:pPr>
            <w:r>
              <w:rPr>
                <w:rFonts w:eastAsia="Times New Roman"/>
                <w:sz w:val="22"/>
                <w:szCs w:val="22"/>
              </w:rPr>
              <w:t>Inert gas (</w:t>
            </w:r>
            <w:proofErr w:type="spellStart"/>
            <w:r>
              <w:rPr>
                <w:rFonts w:eastAsia="Times New Roman"/>
                <w:sz w:val="22"/>
                <w:szCs w:val="22"/>
              </w:rPr>
              <w:t>Ar</w:t>
            </w:r>
            <w:proofErr w:type="spellEnd"/>
            <w:r>
              <w:rPr>
                <w:rFonts w:eastAsia="Times New Roman"/>
                <w:sz w:val="22"/>
                <w:szCs w:val="22"/>
              </w:rPr>
              <w:t>, CO₂)</w:t>
            </w:r>
          </w:p>
        </w:tc>
      </w:tr>
      <w:tr w:rsidR="0005623A" w14:paraId="1133F632"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79D03C3" w14:textId="77777777" w:rsidR="007C3D73" w:rsidRDefault="007C3D73">
            <w:pPr>
              <w:spacing w:before="200" w:after="400"/>
              <w:rPr>
                <w:rFonts w:eastAsia="Times New Roman"/>
                <w:sz w:val="22"/>
                <w:szCs w:val="22"/>
              </w:rPr>
            </w:pPr>
            <w:r>
              <w:rPr>
                <w:rFonts w:eastAsia="Times New Roman"/>
                <w:sz w:val="22"/>
                <w:szCs w:val="22"/>
              </w:rPr>
              <w:t>Deposition rate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2DA5FE26" w14:textId="77777777" w:rsidR="007C3D73" w:rsidRDefault="007C3D73">
            <w:pPr>
              <w:spacing w:before="200" w:after="400"/>
              <w:jc w:val="center"/>
              <w:rPr>
                <w:rFonts w:eastAsia="Times New Roman"/>
                <w:sz w:val="22"/>
                <w:szCs w:val="22"/>
              </w:rPr>
            </w:pPr>
            <w:r>
              <w:rPr>
                <w:rFonts w:eastAsia="Times New Roman"/>
                <w:sz w:val="22"/>
                <w:szCs w:val="22"/>
              </w:rPr>
              <w:t>Low</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413B505" w14:textId="77777777" w:rsidR="007C3D73" w:rsidRDefault="007C3D73">
            <w:pPr>
              <w:spacing w:before="200" w:after="400"/>
              <w:jc w:val="center"/>
              <w:rPr>
                <w:rFonts w:eastAsia="Times New Roman"/>
                <w:sz w:val="22"/>
                <w:szCs w:val="22"/>
              </w:rPr>
            </w:pPr>
            <w:r>
              <w:rPr>
                <w:rFonts w:eastAsia="Times New Roman"/>
                <w:sz w:val="22"/>
                <w:szCs w:val="22"/>
              </w:rPr>
              <w:t>Low</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3146A05" w14:textId="77777777" w:rsidR="007C3D73" w:rsidRDefault="007C3D73">
            <w:pPr>
              <w:spacing w:before="200" w:after="400"/>
              <w:jc w:val="center"/>
              <w:rPr>
                <w:rFonts w:eastAsia="Times New Roman"/>
                <w:sz w:val="22"/>
                <w:szCs w:val="22"/>
              </w:rPr>
            </w:pPr>
            <w:r>
              <w:rPr>
                <w:rFonts w:eastAsia="Times New Roman"/>
                <w:sz w:val="22"/>
                <w:szCs w:val="22"/>
              </w:rPr>
              <w:t>High</w:t>
            </w:r>
          </w:p>
        </w:tc>
      </w:tr>
      <w:tr w:rsidR="0005623A" w14:paraId="1B5E4251"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1788E5F" w14:textId="77777777" w:rsidR="007C3D73" w:rsidRDefault="007C3D73">
            <w:pPr>
              <w:spacing w:before="200" w:after="400"/>
              <w:rPr>
                <w:rFonts w:eastAsia="Times New Roman"/>
                <w:sz w:val="22"/>
                <w:szCs w:val="22"/>
              </w:rPr>
            </w:pPr>
            <w:r>
              <w:rPr>
                <w:rFonts w:eastAsia="Times New Roman"/>
                <w:sz w:val="22"/>
                <w:szCs w:val="22"/>
              </w:rPr>
              <w:t>Skill required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8FA7A73" w14:textId="77777777" w:rsidR="007C3D73" w:rsidRDefault="007C3D73">
            <w:pPr>
              <w:spacing w:before="200" w:after="400"/>
              <w:jc w:val="center"/>
              <w:rPr>
                <w:rFonts w:eastAsia="Times New Roman"/>
                <w:sz w:val="22"/>
                <w:szCs w:val="22"/>
              </w:rPr>
            </w:pPr>
            <w:r>
              <w:rPr>
                <w:rFonts w:eastAsia="Times New Roman"/>
                <w:sz w:val="22"/>
                <w:szCs w:val="22"/>
              </w:rPr>
              <w:t>Moderate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C386080" w14:textId="77777777" w:rsidR="007C3D73" w:rsidRDefault="007C3D73">
            <w:pPr>
              <w:spacing w:before="200" w:after="400"/>
              <w:jc w:val="center"/>
              <w:rPr>
                <w:rFonts w:eastAsia="Times New Roman"/>
                <w:sz w:val="22"/>
                <w:szCs w:val="22"/>
              </w:rPr>
            </w:pPr>
            <w:r>
              <w:rPr>
                <w:rFonts w:eastAsia="Times New Roman"/>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39DAD65B" w14:textId="77777777" w:rsidR="007C3D73" w:rsidRDefault="007C3D73">
            <w:pPr>
              <w:spacing w:before="200" w:after="400"/>
              <w:jc w:val="center"/>
              <w:rPr>
                <w:rFonts w:eastAsia="Times New Roman"/>
                <w:sz w:val="22"/>
                <w:szCs w:val="22"/>
              </w:rPr>
            </w:pPr>
            <w:r>
              <w:rPr>
                <w:rFonts w:eastAsia="Times New Roman"/>
                <w:sz w:val="22"/>
                <w:szCs w:val="22"/>
              </w:rPr>
              <w:t>Low to moderate</w:t>
            </w:r>
          </w:p>
        </w:tc>
      </w:tr>
      <w:tr w:rsidR="0005623A" w14:paraId="54BC238B"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A22EE6D" w14:textId="77777777" w:rsidR="007C3D73" w:rsidRDefault="007C3D73">
            <w:pPr>
              <w:spacing w:before="200" w:after="400"/>
              <w:rPr>
                <w:rFonts w:eastAsia="Times New Roman"/>
                <w:sz w:val="22"/>
                <w:szCs w:val="22"/>
              </w:rPr>
            </w:pPr>
            <w:r>
              <w:rPr>
                <w:rFonts w:eastAsia="Times New Roman"/>
                <w:sz w:val="22"/>
                <w:szCs w:val="22"/>
              </w:rPr>
              <w:t>Weld quality</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79218CA2" w14:textId="77777777" w:rsidR="007C3D73" w:rsidRDefault="007C3D73">
            <w:pPr>
              <w:spacing w:before="200" w:after="400"/>
              <w:jc w:val="center"/>
              <w:rPr>
                <w:rFonts w:eastAsia="Times New Roman"/>
                <w:sz w:val="22"/>
                <w:szCs w:val="22"/>
              </w:rPr>
            </w:pPr>
            <w:r>
              <w:rPr>
                <w:rFonts w:eastAsia="Times New Roman"/>
                <w:sz w:val="22"/>
                <w:szCs w:val="22"/>
              </w:rPr>
              <w:t>Good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171D162B" w14:textId="77777777" w:rsidR="007C3D73" w:rsidRDefault="007C3D73">
            <w:pPr>
              <w:spacing w:before="200" w:after="400"/>
              <w:jc w:val="center"/>
              <w:rPr>
                <w:rFonts w:eastAsia="Times New Roman"/>
                <w:sz w:val="22"/>
                <w:szCs w:val="22"/>
              </w:rPr>
            </w:pPr>
            <w:r>
              <w:rPr>
                <w:rFonts w:eastAsia="Times New Roman"/>
                <w:sz w:val="22"/>
                <w:szCs w:val="22"/>
              </w:rPr>
              <w:t>Excellent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1E83813" w14:textId="77777777" w:rsidR="007C3D73" w:rsidRDefault="007C3D73">
            <w:pPr>
              <w:spacing w:before="200" w:after="400"/>
              <w:jc w:val="center"/>
              <w:rPr>
                <w:rFonts w:eastAsia="Times New Roman"/>
                <w:sz w:val="22"/>
                <w:szCs w:val="22"/>
              </w:rPr>
            </w:pPr>
            <w:r>
              <w:rPr>
                <w:rFonts w:eastAsia="Times New Roman"/>
                <w:sz w:val="22"/>
                <w:szCs w:val="22"/>
              </w:rPr>
              <w:t>Good to excellent</w:t>
            </w:r>
          </w:p>
        </w:tc>
      </w:tr>
      <w:tr w:rsidR="0005623A" w14:paraId="0EB1FF5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50AC61E3" w14:textId="77777777" w:rsidR="007C3D73" w:rsidRDefault="007C3D73">
            <w:pPr>
              <w:spacing w:before="200" w:after="400"/>
              <w:rPr>
                <w:rFonts w:eastAsia="Times New Roman"/>
                <w:sz w:val="22"/>
                <w:szCs w:val="22"/>
              </w:rPr>
            </w:pPr>
            <w:r>
              <w:rPr>
                <w:rFonts w:eastAsia="Times New Roman"/>
                <w:sz w:val="22"/>
                <w:szCs w:val="22"/>
              </w:rPr>
              <w:t>Automation potential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0342BDE" w14:textId="77777777" w:rsidR="007C3D73" w:rsidRDefault="007C3D73">
            <w:pPr>
              <w:spacing w:before="200" w:after="400"/>
              <w:jc w:val="center"/>
              <w:rPr>
                <w:rFonts w:eastAsia="Times New Roman"/>
                <w:sz w:val="22"/>
                <w:szCs w:val="22"/>
              </w:rPr>
            </w:pPr>
            <w:r>
              <w:rPr>
                <w:rFonts w:eastAsia="Times New Roman"/>
                <w:sz w:val="22"/>
                <w:szCs w:val="22"/>
              </w:rPr>
              <w:t>Limited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6C83946D" w14:textId="77777777" w:rsidR="007C3D73" w:rsidRDefault="007C3D73">
            <w:pPr>
              <w:spacing w:before="200" w:after="400"/>
              <w:jc w:val="center"/>
              <w:rPr>
                <w:rFonts w:eastAsia="Times New Roman"/>
                <w:sz w:val="22"/>
                <w:szCs w:val="22"/>
              </w:rPr>
            </w:pPr>
            <w:r>
              <w:rPr>
                <w:rFonts w:eastAsia="Times New Roman"/>
                <w:sz w:val="22"/>
                <w:szCs w:val="22"/>
              </w:rPr>
              <w:t>Good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vAlign w:val="center"/>
            <w:hideMark/>
          </w:tcPr>
          <w:p w14:paraId="0EE1FCF5" w14:textId="77777777" w:rsidR="007C3D73" w:rsidRDefault="007C3D73">
            <w:pPr>
              <w:spacing w:before="200" w:after="400"/>
              <w:jc w:val="center"/>
              <w:rPr>
                <w:rFonts w:eastAsia="Times New Roman"/>
                <w:sz w:val="22"/>
                <w:szCs w:val="22"/>
              </w:rPr>
            </w:pPr>
            <w:r>
              <w:rPr>
                <w:rFonts w:eastAsia="Times New Roman"/>
                <w:sz w:val="22"/>
                <w:szCs w:val="22"/>
              </w:rPr>
              <w:t>Excellent</w:t>
            </w:r>
          </w:p>
        </w:tc>
      </w:tr>
    </w:tbl>
    <w:p w14:paraId="5D9CCF18" w14:textId="77777777" w:rsidR="007C3D73" w:rsidRDefault="007C3D73">
      <w:pPr>
        <w:pStyle w:val="Heading2"/>
        <w:rPr>
          <w:rFonts w:eastAsia="Times New Roman"/>
        </w:rPr>
      </w:pPr>
      <w:r>
        <w:rPr>
          <w:rFonts w:eastAsia="Times New Roman"/>
        </w:rPr>
        <w:lastRenderedPageBreak/>
        <w:t>Task 2: TIG Welding Process and Common Problems</w:t>
      </w:r>
    </w:p>
    <w:p w14:paraId="63C1B18B" w14:textId="77777777" w:rsidR="007C3D73" w:rsidRDefault="007C3D73">
      <w:pPr>
        <w:pStyle w:val="NormalWeb"/>
      </w:pPr>
      <w:r>
        <w:t>The TIG welding process involves establishing an arc between the tungsten electrode and the workpiece while simultaneously feeding filler material (if required) and maintaining adequate shielding gas coverage. The welder controls the arc length, travel speed, and filler addition using both hands, requiring significant coordination and skill.</w:t>
      </w:r>
    </w:p>
    <w:p w14:paraId="18C51BEE" w14:textId="77777777" w:rsidR="007C3D73" w:rsidRDefault="007C3D73">
      <w:pPr>
        <w:pStyle w:val="NormalWeb"/>
      </w:pPr>
      <w:r>
        <w:t>Several common problems can occur during TIG welding. Tungsten contamination happens when the electrode contacts the weld pool, leaving tungsten inclusions in the weld. This can be avoided by maintaining proper arc length and using appropriate starting techniques. Porosity in the weld can result from inadequate shielding gas coverage, contaminated base metal, or moisture in the shielding gas. Proper cleaning of the workpiece and ensuring sufficient gas flow can prevent this issue.</w:t>
      </w:r>
    </w:p>
    <w:p w14:paraId="5CCD4BA8" w14:textId="77777777" w:rsidR="007C3D73" w:rsidRDefault="007C3D73">
      <w:pPr>
        <w:pStyle w:val="NormalWeb"/>
      </w:pPr>
      <w:r>
        <w:t>Oxidation of the weld pool is another significant problem, particularly when welding reactive metals like aluminum or titanium. This appears as discoloration around the weld and indicates insufficient shielding. Increasing gas flow rate or using a gas lens can improve coverage. Cracking can occur due to excessive heat input, improper filler material selection, or inadequate joint preparation. Controlling heat input through proper technique and selecting appropriate filler materials helps prevent cracking.</w:t>
      </w:r>
    </w:p>
    <w:p w14:paraId="4ADC4FD6" w14:textId="77777777" w:rsidR="007C3D73" w:rsidRDefault="007C3D73">
      <w:pPr>
        <w:jc w:val="center"/>
        <w:divId w:val="1816411489"/>
        <w:rPr>
          <w:rFonts w:eastAsia="Times New Roman"/>
        </w:rPr>
      </w:pPr>
      <w:r>
        <w:rPr>
          <w:rFonts w:eastAsia="Times New Roman"/>
          <w:noProof/>
        </w:rPr>
        <w:lastRenderedPageBreak/>
        <w:drawing>
          <wp:inline distT="0" distB="0" distL="0" distR="0" wp14:anchorId="4EB64116" wp14:editId="40EBD93C">
            <wp:extent cx="4572000" cy="6096000"/>
            <wp:effectExtent l="0" t="0" r="0" b="0"/>
            <wp:docPr id="1" name="Picture 1" descr="TIG wel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G weld sample"/>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a:ln>
                      <a:noFill/>
                    </a:ln>
                  </pic:spPr>
                </pic:pic>
              </a:graphicData>
            </a:graphic>
          </wp:inline>
        </w:drawing>
      </w:r>
    </w:p>
    <w:p w14:paraId="00EF9C7D" w14:textId="77777777" w:rsidR="007C3D73" w:rsidRDefault="007C3D73">
      <w:pPr>
        <w:pStyle w:val="figure-caption"/>
      </w:pPr>
      <w:r>
        <w:t>Figure 1. TIG welding sample produced during the laboratory.</w:t>
      </w:r>
    </w:p>
    <w:p w14:paraId="03530F6D" w14:textId="77777777" w:rsidR="007C3D73" w:rsidRDefault="007C3D73">
      <w:pPr>
        <w:pStyle w:val="Heading2"/>
        <w:rPr>
          <w:rFonts w:eastAsia="Times New Roman"/>
        </w:rPr>
      </w:pPr>
      <w:r>
        <w:rPr>
          <w:rFonts w:eastAsia="Times New Roman"/>
        </w:rPr>
        <w:t>Task 3: Economic Analysis - TIG vs SW Methods</w:t>
      </w:r>
    </w:p>
    <w:p w14:paraId="24837BED" w14:textId="77777777" w:rsidR="007C3D73" w:rsidRDefault="007C3D73">
      <w:pPr>
        <w:pStyle w:val="NormalWeb"/>
      </w:pPr>
      <w:r>
        <w:t>When comparing the economics of TIG and SMAW (stick) welding, several factors must be considered including equipment costs, consumable costs, labor costs, and productivity.</w:t>
      </w:r>
    </w:p>
    <w:p w14:paraId="63360255" w14:textId="77777777" w:rsidR="007C3D73" w:rsidRDefault="007C3D73">
      <w:pPr>
        <w:pStyle w:val="NormalWeb"/>
      </w:pPr>
      <w:r>
        <w:t xml:space="preserve">Equipment costs for TIG welding are generally higher than for SMAW. A TIG welding system requires a power source, TIG torch, tungsten electrodes, shielding gas supply (cylinder and regulator), and often a foot pedal for current control. SMAW equipment is simpler, requiring only </w:t>
      </w:r>
      <w:r>
        <w:lastRenderedPageBreak/>
        <w:t>a power source, electrode holder, and electrodes. The initial investment for TIG is typically 2-3 times higher than for basic SMAW equipment.</w:t>
      </w:r>
    </w:p>
    <w:p w14:paraId="2A045028" w14:textId="77777777" w:rsidR="007C3D73" w:rsidRDefault="007C3D73">
      <w:pPr>
        <w:pStyle w:val="NormalWeb"/>
      </w:pPr>
      <w:r>
        <w:t>Consumable costs also differ between the methods. TIG welding requires shielding gas (argon is commonly used), tungsten electrodes (which last for multiple welds), and filler rods. SMAW requires only coated electrodes, but a significant portion (about 20-30%) of each electrode is discarded as stub ends. Over time, the consumable costs for both methods can be comparable depending on the application and gas prices.</w:t>
      </w:r>
    </w:p>
    <w:p w14:paraId="0283E574" w14:textId="77777777" w:rsidR="007C3D73" w:rsidRDefault="007C3D73">
      <w:pPr>
        <w:pStyle w:val="NormalWeb"/>
      </w:pPr>
      <w:r>
        <w:t>Labor costs and productivity represent the most significant difference. SMAW is faster for many applications, particularly on thicker materials and in field conditions. TIG welding, while producing superior weld quality, operates at slower travel speeds and requires more skilled operators who command higher wages. For applications where weld quality is paramount, the higher cost of TIG welding may be justified by reduced rework and better joint performance.</w:t>
      </w:r>
    </w:p>
    <w:p w14:paraId="19063B3B" w14:textId="77777777" w:rsidR="007C3D73" w:rsidRDefault="007C3D73">
      <w:pPr>
        <w:pStyle w:val="Heading2"/>
        <w:rPr>
          <w:rFonts w:eastAsia="Times New Roman"/>
        </w:rPr>
      </w:pPr>
      <w:r>
        <w:rPr>
          <w:rFonts w:eastAsia="Times New Roman"/>
        </w:rPr>
        <w:t>Heat Affected Zone (HAZ) Comparison</w:t>
      </w:r>
    </w:p>
    <w:p w14:paraId="1F1B00BC" w14:textId="77777777" w:rsidR="007C3D73" w:rsidRDefault="007C3D73">
      <w:pPr>
        <w:pStyle w:val="NormalWeb"/>
      </w:pPr>
      <w:r>
        <w:t>The heat affected zone is the region of base metal that has not melted but has experienced microstructural changes due to the heat of welding. The size and characteristics of the HAZ depend on the heat input, which is influenced by welding current, voltage, and travel speed.</w:t>
      </w:r>
    </w:p>
    <w:p w14:paraId="69F7DC8C" w14:textId="77777777" w:rsidR="007C3D73" w:rsidRDefault="007C3D73">
      <w:pPr>
        <w:pStyle w:val="NormalWeb"/>
      </w:pPr>
      <w:r>
        <w:t>TIG welding generally produces a smaller HAZ compared to other methods due to its concentrated arc and precise heat control. The ability to adjust current with a foot pedal allows the welder to minimize heat input. SMAW typically produces a larger HAZ due to higher overall heat input. MIG welding falls between these two, with HAZ size dependent on travel speed and heat input settings.</w:t>
      </w:r>
    </w:p>
    <w:p w14:paraId="64D4E629" w14:textId="77777777" w:rsidR="007C3D73" w:rsidRDefault="007C3D73">
      <w:pPr>
        <w:pStyle w:val="NormalWeb"/>
      </w:pPr>
      <w:r>
        <w:t xml:space="preserve">A smaller HAZ is generally desirable as it preserves more of the original material properties. Large HAZ zones can lead to reduced hardness, grain growth, and potential weakness in the welded joint. For applications requiring minimal property changes in the base metal, TIG welding offers advantages despite its slower speed. </w:t>
      </w:r>
    </w:p>
    <w:p w14:paraId="568EA409" w14:textId="77777777" w:rsidR="007C3D73" w:rsidRDefault="007C3D73">
      <w:pPr>
        <w:jc w:val="center"/>
        <w:divId w:val="1175150093"/>
        <w:rPr>
          <w:rFonts w:eastAsia="Times New Roman"/>
        </w:rPr>
      </w:pPr>
      <w:r>
        <w:rPr>
          <w:rFonts w:eastAsia="Times New Roman"/>
          <w:noProof/>
        </w:rPr>
        <w:lastRenderedPageBreak/>
        <w:drawing>
          <wp:inline distT="0" distB="0" distL="0" distR="0" wp14:anchorId="32F9B062" wp14:editId="2FF0746C">
            <wp:extent cx="3476625" cy="2943225"/>
            <wp:effectExtent l="0" t="0" r="9525" b="9525"/>
            <wp:docPr id="2" name="Picture 2" descr="HAZ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Z comparison"/>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3476625" cy="2943225"/>
                    </a:xfrm>
                    <a:prstGeom prst="rect">
                      <a:avLst/>
                    </a:prstGeom>
                    <a:noFill/>
                    <a:ln>
                      <a:noFill/>
                    </a:ln>
                  </pic:spPr>
                </pic:pic>
              </a:graphicData>
            </a:graphic>
          </wp:inline>
        </w:drawing>
      </w:r>
    </w:p>
    <w:p w14:paraId="3937D1C0" w14:textId="77777777" w:rsidR="007C3D73" w:rsidRDefault="007C3D73">
      <w:pPr>
        <w:pStyle w:val="figure-caption"/>
      </w:pPr>
      <w:r>
        <w:t>Figure 2. Comparison of heat affected zones: TIG weld (top) showing narrow HAZ, MIG welds (bottom).</w:t>
      </w:r>
    </w:p>
    <w:p w14:paraId="2D767C7B" w14:textId="77777777" w:rsidR="007C3D73" w:rsidRDefault="007C3D73">
      <w:pPr>
        <w:pStyle w:val="Heading2"/>
        <w:rPr>
          <w:rFonts w:eastAsia="Times New Roman"/>
        </w:rPr>
      </w:pPr>
      <w:r>
        <w:rPr>
          <w:rFonts w:eastAsia="Times New Roman"/>
        </w:rPr>
        <w:t>Automation of Welding Methods</w:t>
      </w:r>
    </w:p>
    <w:p w14:paraId="35924A55" w14:textId="77777777" w:rsidR="007C3D73" w:rsidRDefault="007C3D73">
      <w:pPr>
        <w:pStyle w:val="NormalWeb"/>
      </w:pPr>
      <w:r>
        <w:t>The potential for automation varies significantly among welding methods. MIG welding is the most easily automated due to its continuous wire feed and stable process characteristics. Robotic MIG welding systems are widely used in automotive manufacturing and other high-volume production environments. The process is tolerant of minor variations and can maintain consistent quality over extended periods.</w:t>
      </w:r>
    </w:p>
    <w:p w14:paraId="483A7BF1" w14:textId="77777777" w:rsidR="007C3D73" w:rsidRDefault="007C3D73">
      <w:pPr>
        <w:pStyle w:val="NormalWeb"/>
      </w:pPr>
      <w:r>
        <w:t>TIG welding can also be automated, particularly for circumferential welds on pipes and tubes. Orbital TIG welding systems are common in pharmaceutical, semiconductor, and nuclear industries where high-purity welds are required. However, automated TIG systems are more complex and expensive than MIG automation.</w:t>
      </w:r>
    </w:p>
    <w:p w14:paraId="06B196F5" w14:textId="77777777" w:rsidR="007C3D73" w:rsidRDefault="007C3D73">
      <w:pPr>
        <w:pStyle w:val="NormalWeb"/>
      </w:pPr>
      <w:r>
        <w:t>SMAW is the most difficult to automate due to its discontinuous nature (electrodes must be changed frequently) and the skill required to maintain arc stability. While some semi-automatic SMAW systems exist, full automation is rare and typically limited to specialized applications.</w:t>
      </w:r>
    </w:p>
    <w:p w14:paraId="65F8F6A4" w14:textId="77777777" w:rsidR="007C3D73" w:rsidRDefault="007C3D73">
      <w:pPr>
        <w:pStyle w:val="Heading2"/>
        <w:rPr>
          <w:rFonts w:eastAsia="Times New Roman"/>
        </w:rPr>
      </w:pPr>
      <w:r>
        <w:rPr>
          <w:rFonts w:eastAsia="Times New Roman"/>
        </w:rPr>
        <w:t>Protection of Liquid Pool from Oxidation</w:t>
      </w:r>
    </w:p>
    <w:p w14:paraId="1B1ACFEA" w14:textId="77777777" w:rsidR="007C3D73" w:rsidRDefault="007C3D73">
      <w:pPr>
        <w:pStyle w:val="NormalWeb"/>
      </w:pPr>
      <w:r>
        <w:t>Protecting the molten weld pool from atmospheric contamination is essential for producing quality welds. Several methods are employed depending on the welding process. Inert shielding gases such as argon and helium displace atmospheric oxygen and nitrogen from the weld zone in TIG and MIG welding. Flux coatings on SMAW electrodes decompose to produce protective gases and form a slag layer that covers the weld pool. Vacuum welding eliminates atmospheric gases entirely but is limited to specialized applications. Back purging with inert gas protects the root side of the weld, particularly important for pipe welding and reactive metals.</w:t>
      </w:r>
    </w:p>
    <w:p w14:paraId="6EA711C8" w14:textId="77777777" w:rsidR="007C3D73" w:rsidRDefault="007C3D73">
      <w:pPr>
        <w:jc w:val="center"/>
        <w:divId w:val="1170676766"/>
        <w:rPr>
          <w:rFonts w:eastAsia="Times New Roman"/>
        </w:rPr>
      </w:pPr>
      <w:r>
        <w:rPr>
          <w:rFonts w:eastAsia="Times New Roman"/>
          <w:noProof/>
        </w:rPr>
        <w:lastRenderedPageBreak/>
        <w:drawing>
          <wp:inline distT="0" distB="0" distL="0" distR="0" wp14:anchorId="36AF1E63" wp14:editId="772D9CEB">
            <wp:extent cx="5686425" cy="7705725"/>
            <wp:effectExtent l="0" t="0" r="9525" b="9525"/>
            <wp:docPr id="3" name="Picture 3" descr="Weld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ld samples"/>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686425" cy="7705725"/>
                    </a:xfrm>
                    <a:prstGeom prst="rect">
                      <a:avLst/>
                    </a:prstGeom>
                    <a:noFill/>
                    <a:ln>
                      <a:noFill/>
                    </a:ln>
                  </pic:spPr>
                </pic:pic>
              </a:graphicData>
            </a:graphic>
          </wp:inline>
        </w:drawing>
      </w:r>
    </w:p>
    <w:p w14:paraId="1A621454" w14:textId="77777777" w:rsidR="007C3D73" w:rsidRDefault="007C3D73">
      <w:pPr>
        <w:pStyle w:val="figure-caption"/>
      </w:pPr>
      <w:r>
        <w:t>Figure 3. Padded weld samples produced during the laboratory session by students.</w:t>
      </w:r>
    </w:p>
    <w:p w14:paraId="3FB298EE" w14:textId="77777777" w:rsidR="007C3D73" w:rsidRDefault="007C3D73">
      <w:pPr>
        <w:pStyle w:val="Heading1"/>
        <w:rPr>
          <w:rFonts w:eastAsia="Times New Roman"/>
        </w:rPr>
      </w:pPr>
      <w:r>
        <w:rPr>
          <w:rFonts w:eastAsia="Times New Roman"/>
        </w:rPr>
        <w:lastRenderedPageBreak/>
        <w:t>CONCLUSIONS</w:t>
      </w:r>
    </w:p>
    <w:p w14:paraId="41A1C810" w14:textId="77777777" w:rsidR="007C3D73" w:rsidRDefault="007C3D73">
      <w:pPr>
        <w:pStyle w:val="NormalWeb"/>
      </w:pPr>
      <w:r>
        <w:t>This laboratory on welding technologies provided practical experience with different welding methods and understanding of their characteristics and applications.</w:t>
      </w:r>
    </w:p>
    <w:p w14:paraId="7684F356" w14:textId="77777777" w:rsidR="007C3D73" w:rsidRDefault="007C3D73">
      <w:pPr>
        <w:pStyle w:val="NormalWeb"/>
      </w:pPr>
      <w:r>
        <w:t>The comparison of SMAW, TIG, and MIG welding revealed distinct advantages and limitations for each method. SMAW offers simplicity and portability but lower productivity. TIG welding produces the highest quality welds but requires more skill and time. MIG welding provides a good balance of quality and productivity, making it suitable for production environments.</w:t>
      </w:r>
    </w:p>
    <w:p w14:paraId="65782F2A" w14:textId="77777777" w:rsidR="007C3D73" w:rsidRDefault="007C3D73">
      <w:pPr>
        <w:pStyle w:val="NormalWeb"/>
      </w:pPr>
      <w:r>
        <w:t>The economic analysis showed that while TIG welding has higher initial costs and lower productivity, it may be cost-effective for applications requiring superior weld quality. The size of the heat affected zone is an important consideration, with TIG welding offering the smallest HAZ due to its concentrated heat input. For automation, MIG welding offers the best potential, followed by TIG for specific applications, while SMAW is largely limited to manual operation.</w:t>
      </w:r>
    </w:p>
    <w:sectPr w:rsidR="007C3D73">
      <w:headerReference w:type="even" r:id="rId9"/>
      <w:headerReference w:type="default" r:id="rId10"/>
      <w:footerReference w:type="even" r:id="rId11"/>
      <w:footerReference w:type="default" r:id="rId12"/>
      <w:headerReference w:type="first" r:id="rId13"/>
      <w:footerReference w:type="first" r:id="rId14"/>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63A40" w14:textId="77777777" w:rsidR="00BC4458" w:rsidRDefault="00BC4458" w:rsidP="00853943">
      <w:r>
        <w:separator/>
      </w:r>
    </w:p>
  </w:endnote>
  <w:endnote w:type="continuationSeparator" w:id="0">
    <w:p w14:paraId="5C49AE7B" w14:textId="77777777" w:rsidR="00BC4458" w:rsidRDefault="00BC4458" w:rsidP="00853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C14C" w14:textId="77777777" w:rsidR="00853943" w:rsidRDefault="008539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421DA" w14:textId="77777777" w:rsidR="00853943" w:rsidRPr="00853943" w:rsidRDefault="00853943" w:rsidP="008539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AA05B" w14:textId="77777777" w:rsidR="00853943" w:rsidRDefault="00853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B86B5" w14:textId="77777777" w:rsidR="00BC4458" w:rsidRDefault="00BC4458" w:rsidP="00853943">
      <w:r>
        <w:separator/>
      </w:r>
    </w:p>
  </w:footnote>
  <w:footnote w:type="continuationSeparator" w:id="0">
    <w:p w14:paraId="438EB2C3" w14:textId="77777777" w:rsidR="00BC4458" w:rsidRDefault="00BC4458" w:rsidP="00853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51F1" w14:textId="77777777" w:rsidR="00853943" w:rsidRDefault="008539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800C8" w14:textId="77777777" w:rsidR="00853943" w:rsidRPr="00853943" w:rsidRDefault="00853943" w:rsidP="008539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81EA" w14:textId="77777777" w:rsidR="00853943" w:rsidRDefault="008539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943"/>
    <w:rsid w:val="0005623A"/>
    <w:rsid w:val="00537F7C"/>
    <w:rsid w:val="005B7E56"/>
    <w:rsid w:val="007C3D73"/>
    <w:rsid w:val="00853943"/>
    <w:rsid w:val="00BC4458"/>
    <w:rsid w:val="00F3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87D3D3"/>
  <w15:chartTrackingRefBased/>
  <w15:docId w15:val="{46851E91-F8A4-4441-99A0-DE64EB6D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80" w:after="240"/>
      <w:outlineLvl w:val="0"/>
    </w:pPr>
    <w:rPr>
      <w:b/>
      <w:bCs/>
      <w:kern w:val="36"/>
      <w:sz w:val="28"/>
      <w:szCs w:val="28"/>
    </w:rPr>
  </w:style>
  <w:style w:type="paragraph" w:styleId="Heading2">
    <w:name w:val="heading 2"/>
    <w:basedOn w:val="Normal"/>
    <w:link w:val="Heading2Char"/>
    <w:uiPriority w:val="9"/>
    <w:qFormat/>
    <w:pPr>
      <w:spacing w:before="360" w:after="200"/>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200" w:after="200"/>
      <w:jc w:val="both"/>
    </w:pPr>
  </w:style>
  <w:style w:type="paragraph" w:styleId="NormalWeb">
    <w:name w:val="Normal (Web)"/>
    <w:basedOn w:val="Normal"/>
    <w:uiPriority w:val="99"/>
    <w:semiHidden/>
    <w:unhideWhenUsed/>
    <w:pPr>
      <w:spacing w:before="200" w:after="200"/>
      <w:jc w:val="both"/>
    </w:pPr>
  </w:style>
  <w:style w:type="paragraph" w:customStyle="1" w:styleId="figure-caption">
    <w:name w:val="figure-caption"/>
    <w:basedOn w:val="Normal"/>
    <w:pPr>
      <w:spacing w:before="100" w:after="400"/>
      <w:jc w:val="center"/>
    </w:pPr>
    <w:rPr>
      <w:i/>
      <w:iCs/>
      <w:sz w:val="22"/>
      <w:szCs w:val="22"/>
    </w:rPr>
  </w:style>
  <w:style w:type="paragraph" w:customStyle="1" w:styleId="table-caption">
    <w:name w:val="table-caption"/>
    <w:basedOn w:val="Normal"/>
    <w:pPr>
      <w:spacing w:before="100" w:beforeAutospacing="1" w:after="100"/>
      <w:jc w:val="center"/>
    </w:pPr>
    <w:rPr>
      <w:i/>
      <w:iCs/>
      <w:sz w:val="22"/>
      <w:szCs w:val="22"/>
    </w:rPr>
  </w:style>
  <w:style w:type="paragraph" w:customStyle="1" w:styleId="placeholder">
    <w:name w:val="placeholder"/>
    <w:basedOn w:val="Normal"/>
    <w:pPr>
      <w:pBdr>
        <w:top w:val="dashed" w:sz="12" w:space="31" w:color="999999"/>
        <w:left w:val="dashed" w:sz="12" w:space="31" w:color="999999"/>
        <w:bottom w:val="dashed" w:sz="12" w:space="31" w:color="999999"/>
        <w:right w:val="dashed" w:sz="12" w:space="31" w:color="999999"/>
      </w:pBdr>
      <w:shd w:val="clear" w:color="auto" w:fill="FAFAFA"/>
      <w:spacing w:before="400" w:after="400"/>
      <w:jc w:val="center"/>
    </w:pPr>
    <w:rPr>
      <w:color w:val="666666"/>
    </w:rPr>
  </w:style>
  <w:style w:type="paragraph" w:styleId="Header">
    <w:name w:val="header"/>
    <w:basedOn w:val="Normal"/>
    <w:link w:val="HeaderChar"/>
    <w:uiPriority w:val="99"/>
    <w:unhideWhenUsed/>
    <w:rsid w:val="00853943"/>
    <w:pPr>
      <w:tabs>
        <w:tab w:val="center" w:pos="4703"/>
        <w:tab w:val="right" w:pos="9406"/>
      </w:tabs>
    </w:pPr>
  </w:style>
  <w:style w:type="character" w:customStyle="1" w:styleId="HeaderChar">
    <w:name w:val="Header Char"/>
    <w:basedOn w:val="DefaultParagraphFont"/>
    <w:link w:val="Header"/>
    <w:uiPriority w:val="99"/>
    <w:rsid w:val="00853943"/>
    <w:rPr>
      <w:rFonts w:eastAsiaTheme="minorEastAsia"/>
      <w:sz w:val="24"/>
      <w:szCs w:val="24"/>
    </w:rPr>
  </w:style>
  <w:style w:type="paragraph" w:styleId="Footer">
    <w:name w:val="footer"/>
    <w:basedOn w:val="Normal"/>
    <w:link w:val="FooterChar"/>
    <w:uiPriority w:val="99"/>
    <w:unhideWhenUsed/>
    <w:rsid w:val="00853943"/>
    <w:pPr>
      <w:tabs>
        <w:tab w:val="center" w:pos="4703"/>
        <w:tab w:val="right" w:pos="9406"/>
      </w:tabs>
    </w:pPr>
  </w:style>
  <w:style w:type="character" w:customStyle="1" w:styleId="FooterChar">
    <w:name w:val="Footer Char"/>
    <w:basedOn w:val="DefaultParagraphFont"/>
    <w:link w:val="Footer"/>
    <w:uiPriority w:val="99"/>
    <w:rsid w:val="0085394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676766">
      <w:marLeft w:val="0"/>
      <w:marRight w:val="0"/>
      <w:marTop w:val="400"/>
      <w:marBottom w:val="400"/>
      <w:divBdr>
        <w:top w:val="none" w:sz="0" w:space="0" w:color="auto"/>
        <w:left w:val="none" w:sz="0" w:space="0" w:color="auto"/>
        <w:bottom w:val="none" w:sz="0" w:space="0" w:color="auto"/>
        <w:right w:val="none" w:sz="0" w:space="0" w:color="auto"/>
      </w:divBdr>
    </w:div>
    <w:div w:id="1175150093">
      <w:marLeft w:val="0"/>
      <w:marRight w:val="0"/>
      <w:marTop w:val="400"/>
      <w:marBottom w:val="400"/>
      <w:divBdr>
        <w:top w:val="none" w:sz="0" w:space="0" w:color="auto"/>
        <w:left w:val="none" w:sz="0" w:space="0" w:color="auto"/>
        <w:bottom w:val="none" w:sz="0" w:space="0" w:color="auto"/>
        <w:right w:val="none" w:sz="0" w:space="0" w:color="auto"/>
      </w:divBdr>
    </w:div>
    <w:div w:id="1816411489">
      <w:marLeft w:val="0"/>
      <w:marRight w:val="0"/>
      <w:marTop w:val="400"/>
      <w:marBottom w:val="40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file:///C:\Users\stani\.gemini\antigravity\scratch\Manufacturing\Reports\weld_samples_sw.png"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file:///C:\Users\stani\.gemini\antigravity\scratch\Manufacturing\Reports\weld_tig_mig.png"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file:///C:\Users\stani\.gemini\antigravity\scratch\Manufacturing\Reports\weld_tig_detail.jpg"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1509</Words>
  <Characters>8678</Characters>
  <Application>Microsoft Office Word</Application>
  <DocSecurity>0</DocSecurity>
  <Lines>166</Lines>
  <Paragraphs>89</Paragraphs>
  <ScaleCrop>false</ScaleCrop>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12 Report - Welding Technologies and Devices</dc:title>
  <dc:subject/>
  <dc:creator>Stanisław Kotowicz</dc:creator>
  <cp:keywords/>
  <dc:description/>
  <cp:lastModifiedBy>Stanisław Kotowicz</cp:lastModifiedBy>
  <cp:revision>4</cp:revision>
  <dcterms:created xsi:type="dcterms:W3CDTF">2026-01-29T17:50:00Z</dcterms:created>
  <dcterms:modified xsi:type="dcterms:W3CDTF">2026-01-29T17:51:00Z</dcterms:modified>
</cp:coreProperties>
</file>