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2"/>
        <w:outlineLvl w:val="1"/>
      </w:pPr>
      <w:r>
        <w:t xml:space="preserve">Summary</w:t>
      </w:r>
    </w:p>
    <w:p>
      <w:pPr/>
      <w:r>
        <w:t xml:space="preserve">This PR hardens the Finchippay contract's custody bookkeeping so counters and token exits can neither drift nor silently wrap. It makes the three monotonic counters — the contract version, the emergency-withdrawal id, and the per-address receipt count — overflow-safe with checked arithmetic, tightens the upgrade flow so the new WASM is deployed before the version bump is committed, and brings the contract documentation (README + architecture) in line with the custody-safety model and the canonical event catalog already defined in </w:t>
      </w:r>
      <w:r>
        <w:rPr>
          <w:rFonts w:ascii="Consolas" w:hAnsi="Consolas"/>
        </w:rPr>
        <w:t xml:space="preserve">events.rs</w:t>
      </w:r>
      <w:r>
        <w:t xml:space="preserve">.</w:t>
      </w:r>
    </w:p>
    <w:p>
      <w:pPr>
        <w:pStyle w:val="Heading2"/>
        <w:outlineLvl w:val="1"/>
      </w:pPr>
      <w:r>
        <w:t xml:space="preserve">Type of change</w:t>
      </w:r>
    </w:p>
    <w:p>
      <w:pPr>
        <w:pStyle w:val="ListBullet"/>
        <w:ind w:left="360"/>
      </w:pPr>
      <w:r>
        <w:t xml:space="preserve">[x] </w:t>
      </w:r>
      <w:r>
        <w:t xml:space="preserve">Bug fix</w:t>
      </w:r>
    </w:p>
    <w:p>
      <w:pPr>
        <w:pStyle w:val="ListBullet"/>
        <w:ind w:left="360"/>
      </w:pPr>
      <w:r>
        <w:t xml:space="preserve">[x] </w:t>
      </w:r>
      <w:r>
        <w:t xml:space="preserve">Smart contract change</w:t>
      </w:r>
    </w:p>
    <w:p>
      <w:pPr>
        <w:pStyle w:val="ListBullet"/>
        <w:ind w:left="360"/>
      </w:pPr>
      <w:r>
        <w:t xml:space="preserve">[x] </w:t>
      </w:r>
      <w:r>
        <w:t xml:space="preserve">Documentation update</w:t>
      </w:r>
    </w:p>
    <w:p>
      <w:pPr>
        <w:pStyle w:val="ListBullet"/>
        <w:ind w:left="360"/>
      </w:pPr>
      <w:r>
        <w:t xml:space="preserve">[ ] </w:t>
      </w:r>
      <w:r>
        <w:t xml:space="preserve">New feature</w:t>
      </w:r>
    </w:p>
    <w:p>
      <w:pPr>
        <w:pStyle w:val="ListBullet"/>
        <w:ind w:left="360"/>
      </w:pPr>
      <w:r>
        <w:t xml:space="preserve">[ ] </w:t>
      </w:r>
      <w:r>
        <w:t xml:space="preserve">Refactor / chore</w:t>
      </w:r>
    </w:p>
    <w:p>
      <w:pPr>
        <w:pStyle w:val="Heading2"/>
        <w:outlineLvl w:val="1"/>
      </w:pPr>
      <w:r>
        <w:t xml:space="preserve">Related issue</w:t>
      </w:r>
    </w:p>
    <w:p>
      <w:pPr/>
      <w:r>
        <w:rPr>
          <w:b/>
        </w:rPr>
        <w:t xml:space="preserve">Part of #944</w:t>
      </w:r>
      <w:r>
        <w:t xml:space="preserve"> — this PR implements the checked-arithmetic counter hardening and upgrade-flow hardening (issue workstreams 3 &amp; 6) and the custody/event documentation alignment (workstream 4, catalog half). The remaining workstreams (dispute access-control freeze, TTL sweep fairness, canonical event emission from the contract, CI-enforced fuzzing) land in follow-up PRs, so #944 stays open until the full series completes.</w:t>
      </w:r>
    </w:p>
    <w:p>
      <w:pPr>
        <w:pStyle w:val="Heading2"/>
        <w:outlineLvl w:val="1"/>
      </w:pPr>
      <w:r>
        <w:t xml:space="preserve">Changes</w:t>
      </w:r>
    </w:p>
    <w:p>
      <w:pPr/>
      <w:r>
        <w:rPr>
          <w:b/>
        </w:rPr>
        <w:t xml:space="preserve">Contract — checked counters (`contracts/finchippay-contract/src/lib.rs`)</w:t>
      </w:r>
    </w:p>
    <w:p>
      <w:pPr>
        <w:pStyle w:val="ListBullet"/>
        <w:ind w:left="360"/>
      </w:pPr>
      <w:r>
        <w:t xml:space="preserve">•  </w:t>
      </w:r>
      <w:r>
        <w:rPr>
          <w:rFonts w:ascii="Consolas" w:hAnsi="Consolas"/>
        </w:rPr>
        <w:t xml:space="preserve">upgrade</w:t>
      </w:r>
      <w:r>
        <w:t xml:space="preserve">: the new WASM is now deployed (</w:t>
      </w:r>
      <w:r>
        <w:rPr>
          <w:rFonts w:ascii="Consolas" w:hAnsi="Consolas"/>
        </w:rPr>
        <w:t xml:space="preserve">update_current_contract_wasm</w:t>
      </w:r>
      <w:r>
        <w:t xml:space="preserve">) *before* the stored version is committed, and the version increment uses </w:t>
      </w:r>
      <w:r>
        <w:rPr>
          <w:rFonts w:ascii="Consolas" w:hAnsi="Consolas"/>
        </w:rPr>
        <w:t xml:space="preserve">checked_add</w:t>
      </w:r>
      <w:r>
        <w:t xml:space="preserve"> (reverts on overflow) instead of a raw </w:t>
      </w:r>
      <w:r>
        <w:rPr>
          <w:rFonts w:ascii="Consolas" w:hAnsi="Consolas"/>
        </w:rPr>
        <w:t xml:space="preserve">current_ver + 1</w:t>
      </w:r>
      <w:r>
        <w:t xml:space="preserve">. A successful upgrade can no longer persist a stale or wrapped version, keeping off-chain indexers consistent with the deployed bytecode.</w:t>
      </w:r>
    </w:p>
    <w:p>
      <w:pPr>
        <w:pStyle w:val="ListBullet"/>
        <w:ind w:left="360"/>
      </w:pPr>
      <w:r>
        <w:t xml:space="preserve">•  </w:t>
      </w:r>
      <w:r>
        <w:rPr>
          <w:rFonts w:ascii="Consolas" w:hAnsi="Consolas"/>
        </w:rPr>
        <w:t xml:space="preserve">initiate_emergency_withdrawal</w:t>
      </w:r>
      <w:r>
        <w:t xml:space="preserve">: the withdrawal counter is advanced with </w:t>
      </w:r>
      <w:r>
        <w:rPr>
          <w:rFonts w:ascii="Consolas" w:hAnsi="Consolas"/>
        </w:rPr>
        <w:t xml:space="preserve">checked_add</w:t>
      </w:r>
      <w:r>
        <w:t xml:space="preserve"> and the checked </w:t>
      </w:r>
      <w:r>
        <w:rPr>
          <w:rFonts w:ascii="Consolas" w:hAnsi="Consolas"/>
        </w:rPr>
        <w:t xml:space="preserve">next_count</w:t>
      </w:r>
      <w:r>
        <w:t xml:space="preserve"> value is persisted (previously the raw </w:t>
      </w:r>
      <w:r>
        <w:rPr>
          <w:rFonts w:ascii="Consolas" w:hAnsi="Consolas"/>
        </w:rPr>
        <w:t xml:space="preserve">id + 1</w:t>
      </w:r>
      <w:r>
        <w:t xml:space="preserve">).</w:t>
      </w:r>
    </w:p>
    <w:p>
      <w:pPr>
        <w:pStyle w:val="ListBullet"/>
        <w:ind w:left="360"/>
      </w:pPr>
      <w:r>
        <w:t xml:space="preserve">•  </w:t>
      </w:r>
      <w:r>
        <w:rPr>
          <w:rFonts w:ascii="Consolas" w:hAnsi="Consolas"/>
        </w:rPr>
        <w:t xml:space="preserve">mint_receipt</w:t>
      </w:r>
      <w:r>
        <w:t xml:space="preserve">: the per-address receipt counter is advanced with </w:t>
      </w:r>
      <w:r>
        <w:rPr>
          <w:rFonts w:ascii="Consolas" w:hAnsi="Consolas"/>
        </w:rPr>
        <w:t xml:space="preserve">checked_add</w:t>
      </w:r>
      <w:r>
        <w:t xml:space="preserve"> and the checked </w:t>
      </w:r>
      <w:r>
        <w:rPr>
          <w:rFonts w:ascii="Consolas" w:hAnsi="Consolas"/>
        </w:rPr>
        <w:t xml:space="preserve">next_count</w:t>
      </w:r>
      <w:r>
        <w:t xml:space="preserve"> value is persisted (previously the raw </w:t>
      </w:r>
      <w:r>
        <w:rPr>
          <w:rFonts w:ascii="Consolas" w:hAnsi="Consolas"/>
        </w:rPr>
        <w:t xml:space="preserve">count + 1</w:t>
      </w:r>
      <w:r>
        <w:t xml:space="preserve">).</w:t>
      </w:r>
    </w:p>
    <w:p>
      <w:pPr/>
      <w:r>
        <w:rPr>
          <w:b/>
        </w:rPr>
        <w:t xml:space="preserve">Build fix (commit `6b6c724`)</w:t>
      </w:r>
    </w:p>
    <w:p>
      <w:pPr>
        <w:pStyle w:val="ListBullet"/>
        <w:ind w:left="360"/>
      </w:pPr>
      <w:r>
        <w:t xml:space="preserve">•  </w:t>
      </w:r>
      <w:r>
        <w:t xml:space="preserve">Merging </w:t>
      </w:r>
      <w:r>
        <w:rPr>
          <w:rFonts w:ascii="Consolas" w:hAnsi="Consolas"/>
        </w:rPr>
        <w:t xml:space="preserve">main</w:t>
      </w:r>
      <w:r>
        <w:t xml:space="preserve"> into the branch left a stray line in </w:t>
      </w:r>
      <w:r>
        <w:rPr>
          <w:rFonts w:ascii="Consolas" w:hAnsi="Consolas"/>
        </w:rPr>
        <w:t xml:space="preserve">initiate_emergency_withdrawal</w:t>
      </w:r>
      <w:r>
        <w:t xml:space="preserve"> referencing an undefined </w:t>
      </w:r>
      <w:r>
        <w:rPr>
          <w:rFonts w:ascii="Consolas" w:hAnsi="Consolas"/>
        </w:rPr>
        <w:t xml:space="preserve">count</w:t>
      </w:r>
      <w:r>
        <w:t xml:space="preserve"> variable, which broke the contract build. The counter is now derived from </w:t>
      </w:r>
      <w:r>
        <w:rPr>
          <w:rFonts w:ascii="Consolas" w:hAnsi="Consolas"/>
        </w:rPr>
        <w:t xml:space="preserve">id</w:t>
      </w:r>
      <w:r>
        <w:t xml:space="preserve"> (the current withdrawal count) and the checked </w:t>
      </w:r>
      <w:r>
        <w:rPr>
          <w:rFonts w:ascii="Consolas" w:hAnsi="Consolas"/>
        </w:rPr>
        <w:t xml:space="preserve">next_count</w:t>
      </w:r>
      <w:r>
        <w:t xml:space="preserve"> is persisted, restoring a clean build.</w:t>
      </w:r>
    </w:p>
    <w:p>
      <w:pPr/>
      <w:r>
        <w:rPr>
          <w:b/>
        </w:rPr>
        <w:t xml:space="preserve">Docs</w:t>
      </w:r>
    </w:p>
    <w:p>
      <w:pPr>
        <w:pStyle w:val="ListBullet"/>
        <w:ind w:left="360"/>
      </w:pPr>
      <w:r>
        <w:t xml:space="preserve">•  </w:t>
      </w:r>
      <w:r>
        <w:rPr>
          <w:rFonts w:ascii="Consolas" w:hAnsi="Consolas"/>
        </w:rPr>
        <w:t xml:space="preserve">contracts/finchippay-contract/README.md</w:t>
      </w:r>
      <w:r>
        <w:t xml:space="preserve">: documents that custody transitions are serialized by an instance-scoped re-entry lock with exact contract-balance delta verification on outbound transfers; that per-token locked-balance accounting is increased on deposit and decreased before every tracked payout/refund; and that </w:t>
      </w:r>
      <w:r>
        <w:rPr>
          <w:rFonts w:ascii="Consolas" w:hAnsi="Consolas"/>
        </w:rPr>
        <w:t xml:space="preserve">rescue_tokens</w:t>
      </w:r>
      <w:r>
        <w:t xml:space="preserve"> can only withdraw the unlocked balance. The event table is aligned with the canonical catalog in </w:t>
      </w:r>
      <w:r>
        <w:rPr>
          <w:rFonts w:ascii="Consolas" w:hAnsi="Consolas"/>
        </w:rPr>
        <w:t xml:space="preserve">events.rs</w:t>
      </w:r>
      <w:r>
        <w:t xml:space="preserve">.</w:t>
      </w:r>
    </w:p>
    <w:p>
      <w:pPr>
        <w:pStyle w:val="ListBullet"/>
        <w:ind w:left="360"/>
      </w:pPr>
      <w:r>
        <w:t xml:space="preserve">•  </w:t>
      </w:r>
      <w:r>
        <w:rPr>
          <w:rFonts w:ascii="Consolas" w:hAnsi="Consolas"/>
        </w:rPr>
        <w:t xml:space="preserve">docs/architecture.md</w:t>
      </w:r>
      <w:r>
        <w:t xml:space="preserve">: adds a "Custody safety" bullet to the key design decisions and updates the event-catalog table to the canonical topic names and payloads.</w:t>
      </w:r>
    </w:p>
    <w:p>
      <w:pPr>
        <w:pStyle w:val="Heading2"/>
        <w:outlineLvl w:val="1"/>
      </w:pPr>
      <w:r>
        <w:t xml:space="preserve">Testing</w:t>
      </w:r>
    </w:p>
    <w:p>
      <w:pPr>
        <w:pStyle w:val="ListBullet"/>
        <w:ind w:left="360"/>
      </w:pPr>
      <w:r>
        <w:t xml:space="preserve">•  </w:t>
      </w:r>
      <w:r>
        <w:t xml:space="preserve">CI on the head commit (</w:t>
      </w:r>
      <w:r>
        <w:rPr>
          <w:rFonts w:ascii="Consolas" w:hAnsi="Consolas"/>
        </w:rPr>
        <w:t xml:space="preserve">6b6c724</w:t>
      </w:r>
      <w:r>
        <w:t xml:space="preserve">) is green: </w:t>
      </w:r>
      <w:r>
        <w:rPr>
          <w:b/>
        </w:rPr>
        <w:t xml:space="preserve">Contracts (Rust stable)</w:t>
      </w:r>
      <w:r>
        <w:t xml:space="preserve"> and </w:t>
      </w:r>
      <w:r>
        <w:rPr>
          <w:b/>
        </w:rPr>
        <w:t xml:space="preserve">Contracts (Rust nightly)</w:t>
      </w:r>
      <w:r>
        <w:t xml:space="preserve"> (full </w:t>
      </w:r>
      <w:r>
        <w:rPr>
          <w:rFonts w:ascii="Consolas" w:hAnsi="Consolas"/>
        </w:rPr>
        <w:t xml:space="preserve">cargo test</w:t>
      </w:r>
      <w:r>
        <w:t xml:space="preserve"> + fmt/clippy), </w:t>
      </w:r>
      <w:r>
        <w:rPr>
          <w:b/>
        </w:rPr>
        <w:t xml:space="preserve">Analyze (rust)</w:t>
      </w:r>
      <w:r>
        <w:t xml:space="preserve">, </w:t>
      </w:r>
      <w:r>
        <w:rPr>
          <w:b/>
        </w:rPr>
        <w:t xml:space="preserve">CodeQL</w:t>
      </w:r>
      <w:r>
        <w:t xml:space="preserve">, </w:t>
      </w:r>
      <w:r>
        <w:rPr>
          <w:b/>
        </w:rPr>
        <w:t xml:space="preserve">OSV-Scanner</w:t>
      </w:r>
      <w:r>
        <w:t xml:space="preserve">, </w:t>
      </w:r>
      <w:r>
        <w:rPr>
          <w:b/>
        </w:rPr>
        <w:t xml:space="preserve">Contract Bindings</w:t>
      </w:r>
      <w:r>
        <w:t xml:space="preserve">, </w:t>
      </w:r>
      <w:r>
        <w:rPr>
          <w:b/>
        </w:rPr>
        <w:t xml:space="preserve">Error Code Docs</w:t>
      </w:r>
      <w:r>
        <w:t xml:space="preserve">, </w:t>
      </w:r>
      <w:r>
        <w:rPr>
          <w:b/>
        </w:rPr>
        <w:t xml:space="preserve">Coverage Report</w:t>
      </w:r>
      <w:r>
        <w:t xml:space="preserve">, </w:t>
      </w:r>
      <w:r>
        <w:rPr>
          <w:b/>
        </w:rPr>
        <w:t xml:space="preserve">Docker Compose</w:t>
      </w:r>
      <w:r>
        <w:t xml:space="preserve">, and </w:t>
      </w:r>
      <w:r>
        <w:rPr>
          <w:b/>
        </w:rPr>
        <w:t xml:space="preserve">Analyze (javascript-typescript)</w:t>
      </w:r>
      <w:r>
        <w:t xml:space="preserve"> all pass. The </w:t>
      </w:r>
      <w:r>
        <w:rPr>
          <w:rFonts w:ascii="Consolas" w:hAnsi="Consolas"/>
        </w:rPr>
        <w:t xml:space="preserve">contract-fuzz</w:t>
      </w:r>
      <w:r>
        <w:t xml:space="preserve">, frontend/backend, E2E, and benchmark jobs are skipped on this PR as configured.</w:t>
      </w:r>
    </w:p>
    <w:p>
      <w:pPr>
        <w:pStyle w:val="ListBullet"/>
        <w:ind w:left="360"/>
      </w:pPr>
      <w:r>
        <w:t xml:space="preserve">•  </w:t>
      </w:r>
      <w:r>
        <w:t xml:space="preserve">The changed counter/upgrade paths are covered by the existing contract suites (integration, reentrancy, emergency-withdrawal property tests, balance reconciliation), which continue to pass.</w:t>
      </w:r>
    </w:p>
    <w:p>
      <w:pPr>
        <w:pStyle w:val="ListBullet"/>
        <w:ind w:left="360"/>
      </w:pPr>
      <w:r>
        <w:t xml:space="preserve">[x] </w:t>
      </w:r>
      <w:r>
        <w:t xml:space="preserve">Added/updated unit tests — existing suites cover the changed paths; no new tests required for the counter and upgrade-ordering changes</w:t>
      </w:r>
    </w:p>
    <w:p>
      <w:pPr>
        <w:pStyle w:val="ListBullet"/>
        <w:ind w:left="360"/>
      </w:pPr>
      <w:r>
        <w:t xml:space="preserve">[ ] </w:t>
      </w:r>
      <w:r>
        <w:t xml:space="preserve">Tested locally on Testnet — not performed; recommended before merge since this touches the upgrade path</w:t>
      </w:r>
    </w:p>
    <w:p>
      <w:pPr>
        <w:pStyle w:val="Heading2"/>
        <w:outlineLvl w:val="1"/>
      </w:pPr>
      <w:r>
        <w:t xml:space="preserve">Screenshots (if UI change)</w:t>
      </w:r>
    </w:p>
    <w:p>
      <w:pPr/>
      <w:r>
        <w:t xml:space="preserve">N/A — smart-contract and documentation change only; no UI.</w:t>
      </w:r>
    </w:p>
    <w:p>
      <w:pPr>
        <w:pStyle w:val="Heading2"/>
        <w:outlineLvl w:val="1"/>
      </w:pPr>
      <w:r>
        <w:t xml:space="preserve">Checklist</w:t>
      </w:r>
    </w:p>
    <w:p>
      <w:pPr>
        <w:pStyle w:val="ListBullet"/>
        <w:ind w:left="360"/>
      </w:pPr>
      <w:r>
        <w:t xml:space="preserve">[x] </w:t>
      </w:r>
      <w:r>
        <w:t xml:space="preserve">My code follows the project style (fmt/clippy green in CI)</w:t>
      </w:r>
    </w:p>
    <w:p>
      <w:pPr>
        <w:pStyle w:val="ListBullet"/>
        <w:ind w:left="360"/>
      </w:pPr>
      <w:r>
        <w:t xml:space="preserve">[x] </w:t>
      </w:r>
      <w:r>
        <w:t xml:space="preserve">I've updated docs if needed (README + architecture.md)</w:t>
      </w:r>
    </w:p>
    <w:p>
      <w:pPr>
        <w:pStyle w:val="ListBullet"/>
        <w:ind w:left="360"/>
      </w:pPr>
      <w:r>
        <w:t xml:space="preserve">[x] </w:t>
      </w:r>
      <w:r>
        <w:t xml:space="preserve">No console errors or warnings (no UI code touched; static analysis green)</w:t>
      </w:r>
    </w:p>
    <w:p>
      <w:pPr>
        <w:pStyle w:val="ListBullet"/>
        <w:ind w:left="360"/>
      </w:pPr>
      <w:r>
        <w:t xml:space="preserve">[x] </w:t>
      </w:r>
      <w:r>
        <w:t xml:space="preserve">I've rebased on latest </w:t>
      </w:r>
      <w:r>
        <w:rPr>
          <w:rFonts w:ascii="Consolas" w:hAnsi="Consolas"/>
        </w:rPr>
        <w:t xml:space="preserve">main</w:t>
      </w:r>
      <w:r>
        <w:t xml:space="preserve"> (merge commit </w:t>
      </w:r>
      <w:r>
        <w:rPr>
          <w:rFonts w:ascii="Consolas" w:hAnsi="Consolas"/>
        </w:rPr>
        <w:t xml:space="preserve">a28f658</w:t>
      </w:r>
      <w:r>
        <w:t xml:space="preserve"> brings the branch up to date)</w:t>
      </w:r>
    </w:p>
    <w:p>
      <w:pPr>
        <w:pStyle w:val="Heading2"/>
        <w:outlineLvl w:val="1"/>
      </w:pPr>
      <w:r>
        <w:t xml:space="preserve">Notes for reviewers</w:t>
      </w:r>
    </w:p>
    <w:p>
      <w:pPr>
        <w:pStyle w:val="ListBullet"/>
        <w:ind w:left="360"/>
      </w:pPr>
      <w:r>
        <w:t xml:space="preserve">•  </w:t>
      </w:r>
      <w:r>
        <w:t xml:space="preserve">The docs' event tables use the canonical topic names from </w:t>
      </w:r>
      <w:r>
        <w:rPr>
          <w:rFonts w:ascii="Consolas" w:hAnsi="Consolas"/>
        </w:rPr>
        <w:t xml:space="preserve">events.rs</w:t>
      </w:r>
      <w:r>
        <w:t xml:space="preserve"> (e.g. </w:t>
      </w:r>
      <w:r>
        <w:rPr>
          <w:rFonts w:ascii="Consolas" w:hAnsi="Consolas"/>
        </w:rPr>
        <w:t xml:space="preserve">escrow_created</w:t>
      </w:r>
      <w:r>
        <w:t xml:space="preserve">, </w:t>
      </w:r>
      <w:r>
        <w:rPr>
          <w:rFonts w:ascii="Consolas" w:hAnsi="Consolas"/>
        </w:rPr>
        <w:t xml:space="preserve">stream_opened</w:t>
      </w:r>
      <w:r>
        <w:t xml:space="preserve">). The contract's escrow/stream emit sites still use the legacy topics (</w:t>
      </w:r>
      <w:r>
        <w:rPr>
          <w:rFonts w:ascii="Consolas" w:hAnsi="Consolas"/>
        </w:rPr>
        <w:t xml:space="preserve">escrow_create</w:t>
      </w:r>
      <w:r>
        <w:t xml:space="preserve">, </w:t>
      </w:r>
      <w:r>
        <w:rPr>
          <w:rFonts w:ascii="Consolas" w:hAnsi="Consolas"/>
        </w:rPr>
        <w:t xml:space="preserve">stream_open</w:t>
      </w:r>
      <w:r>
        <w:t xml:space="preserve">, …), so canonicalizing the emit sites — together with the backend indexer/parser — is tracked as a follow-up under #944 so contract, catalog, and indexer converge in one coordinated change.</w:t>
      </w:r>
    </w:p>
    <w:p>
      <w:pPr>
        <w:pStyle w:val="ListBullet"/>
        <w:ind w:left="360"/>
      </w:pPr>
      <w:r>
        <w:t xml:space="preserve">•  </w:t>
      </w:r>
      <w:r>
        <w:t xml:space="preserve">Scope is intentionally limited to counter/upgrade hardening plus docs: the dispute access-control freeze, TTL sweep fairness, and CI fuzzing workstreams of #944 remain open.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ListBullet">
    <w:name w:val="List Bullet"/>
    <w:basedOn w:val="Normal"/>
    <w:next w:val="Normal"/>
  </w:style>
  <w:style w:type="paragraph" w:styleId="Heading1">
    <w:name w:val="heading 1"/>
    <w:basedOn w:val="Normal"/>
    <w:next w:val="Normal"/>
    <w:pPr>
      <w:keepNext/>
      <w:spacing w:before="36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80"/>
    </w:pPr>
    <w:rPr>
      <w:b/>
      <w:sz w:val="26"/>
      <w:color w:val="2E5395"/>
    </w:rPr>
  </w:style>
  <w:style w:type="paragraph" w:styleId="Heading3">
    <w:name w:val="heading 3"/>
    <w:basedOn w:val="Normal"/>
    <w:next w:val="Normal"/>
    <w:pPr>
      <w:keepNext/>
      <w:spacing w:before="240" w:after="60"/>
    </w:pPr>
    <w:rPr>
      <w:b/>
      <w:sz w:val="24"/>
    </w:rPr>
  </w:style>
</w:styles>
</file>