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LR拟合的过程和原理，包括cost function，h(θ)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除了Gradient Descent外，还介绍了别的高级拟合算法，如BFGS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防止Overfitting，underfitting的方法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Regularization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LR拟合的过程和原理，包括cost function，h(θ)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h(θ）&gt;=0.5，既Decision Boundary 决策边界&gt;=0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Non-convex非凸函数，找不到global minimum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以下这种cost function保证逻辑回归的成本函数是凸函数，既可导，且找到全局最优。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当h(θ)=1, 实际y=1，那cost为0。如果h(θ)=0，但y=1，既预测上y=1的概率为0，那我们会对学习算法进行很大的成本惩罚，既cost趋向于正无穷。</w:t>
      </w: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反之亦然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把分段函数整合成一个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除了gradient descent外的优化算法，一般比gradient descent运算更快，更加适合大的数据集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除了Gradient Descent外，还介绍了别的高级拟合算法，如BFGS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296941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969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防止Overfitting，underfitting的方法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Regularization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实际上regularization是在原来loss function or cost function的基础上加上惩罚函数，实现两者的trade off，从中抑制了theta的大小。尤其随着λ越大，θ则会越小，试想如果λ=10^6，θ则几乎为0。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加上regularization后的cost function的gradient descent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Regularization还可解决不可逆的问题</w:t>
      </w:r>
    </w:p>
    <w:p w:rsidR="00000000" w:rsidDel="00000000" w:rsidP="00000000" w:rsidRDefault="00000000" w:rsidRPr="00000000" w14:paraId="0000003C">
      <w:pPr>
        <w:spacing w:line="288" w:lineRule="auto"/>
        <w:rPr>
          <w:color w:val="373a3c"/>
          <w:sz w:val="21"/>
          <w:szCs w:val="21"/>
          <w:shd w:fill="fafafa" w:val="clear"/>
        </w:rPr>
      </w:pPr>
      <w:r w:rsidDel="00000000" w:rsidR="00000000" w:rsidRPr="00000000">
        <w:rPr>
          <w:color w:val="373a3c"/>
          <w:sz w:val="21"/>
          <w:szCs w:val="21"/>
          <w:shd w:fill="fafafa" w:val="clear"/>
          <w:rtl w:val="0"/>
        </w:rPr>
        <w:t xml:space="preserve">Recall that if m &lt; n, then </w:t>
      </w:r>
      <w:hyperlink r:id="rId15">
        <w:r w:rsidDel="00000000" w:rsidR="00000000" w:rsidRPr="00000000">
          <w:rPr>
            <w:color w:val="373a3c"/>
            <w:sz w:val="21"/>
            <w:szCs w:val="21"/>
            <w:shd w:fill="fafafa" w:val="clear"/>
          </w:rPr>
          <w:drawing>
            <wp:inline distB="19050" distT="19050" distL="19050" distR="19050">
              <wp:extent cx="368300" cy="139700"/>
              <wp:effectExtent b="0" l="0" r="0" t="0"/>
              <wp:docPr id="5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8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color w:val="373a3c"/>
          <w:sz w:val="21"/>
          <w:szCs w:val="21"/>
          <w:shd w:fill="fafafa" w:val="clear"/>
          <w:rtl w:val="0"/>
        </w:rPr>
        <w:t xml:space="preserve">is non-invertible. However, when we add the term λ, then </w:t>
      </w:r>
    </w:p>
    <w:p w:rsidR="00000000" w:rsidDel="00000000" w:rsidP="00000000" w:rsidRDefault="00000000" w:rsidRPr="00000000" w14:paraId="0000003D">
      <w:pPr>
        <w:spacing w:line="288" w:lineRule="auto"/>
        <w:rPr/>
      </w:pPr>
      <w:hyperlink r:id="rId17">
        <w:r w:rsidDel="00000000" w:rsidR="00000000" w:rsidRPr="00000000">
          <w:rPr>
            <w:color w:val="373a3c"/>
            <w:sz w:val="21"/>
            <w:szCs w:val="21"/>
            <w:shd w:fill="fafafa" w:val="clear"/>
          </w:rPr>
          <w:drawing>
            <wp:inline distB="19050" distT="19050" distL="19050" distR="19050">
              <wp:extent cx="368300" cy="139700"/>
              <wp:effectExtent b="0" l="0" r="0" t="0"/>
              <wp:docPr id="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8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color w:val="373a3c"/>
          <w:sz w:val="18"/>
          <w:szCs w:val="18"/>
          <w:shd w:fill="fafafa" w:val="clear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color w:val="373a3c"/>
          <w:sz w:val="21"/>
          <w:szCs w:val="21"/>
          <w:shd w:fill="fafafa" w:val="clear"/>
          <w:rtl w:val="0"/>
        </w:rPr>
        <w:t xml:space="preserve"> λ⋅L becomes invertible.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www.codecogs.com/eqnedit.php?latex=XX%5ET%0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www.codecogs.com/eqnedit.php?latex=XX%5ET%0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