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Maple Court Apartments — Lease Addendum</w:t>
      </w:r>
    </w:p>
    <w:p>
      <w:pPr>
        <w:pBdr>
          <w:bottom w:val="single" w:color="CCCCCC" w:sz="6" w:space="4"/>
        </w:pBdr>
        <w:spacing w:after="240"/>
      </w:pPr>
      <w:r>
        <w:rPr>
          <w:i/>
          <w:iCs/>
          <w:color w:val="888888"/>
          <w:sz w:val="18"/>
          <w:szCs w:val="18"/>
        </w:rPr>
        <w:t xml:space="preserve">Test document D07 — fictional sample for analyzer evaluation</w:t>
      </w:r>
    </w:p>
    <w:p>
      <w:pPr>
        <w:spacing w:after="160"/>
      </w:pPr>
      <w:r>
        <w:rPr>
          <w:sz w:val="22"/>
          <w:szCs w:val="22"/>
        </w:rPr>
        <w:t xml:space="preserve">A move-in administrative fee of $350 is non-refundable under any circumstances, including if your application is later denied.</w:t>
      </w:r>
    </w:p>
    <w:p>
      <w:pPr>
        <w:spacing w:after="160"/>
      </w:pPr>
      <w:r>
        <w:rPr>
          <w:sz w:val="22"/>
          <w:szCs w:val="22"/>
        </w:rPr>
        <w:t xml:space="preserve">To move out, tenants must provide 60 days written notice AND pay a lease-break fee equal to two months rent; notice provided by any other method will be treated as void.</w:t>
      </w:r>
    </w:p>
    <w:p>
      <w:pPr>
        <w:spacing w:after="160"/>
      </w:pPr>
      <w:r>
        <w:rPr>
          <w:sz w:val="22"/>
          <w:szCs w:val="22"/>
        </w:rPr>
        <w:t xml:space="preserve">Tenants who fall behind may face immediate eviction proceedings and a report to collections.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Maple Court Apartments — Lease Addendum</dc:title>
  <dc:creator>ReVision analyzer test harness</dc:creator>
  <cp:lastModifiedBy>Un-named</cp:lastModifiedBy>
  <cp:revision>1</cp:revision>
  <dcterms:created xsi:type="dcterms:W3CDTF">2026-07-18T20:29:05.923Z</dcterms:created>
  <dcterms:modified xsi:type="dcterms:W3CDTF">2026-07-18T20:29:05.923Z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