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F5C66" w14:textId="5C753C0F" w:rsidR="00457DE2" w:rsidRPr="00457DE2" w:rsidRDefault="00457DE2" w:rsidP="00A51B7F">
      <w:pPr>
        <w:spacing w:after="0"/>
        <w:jc w:val="center"/>
        <w:rPr>
          <w:b/>
          <w:bCs/>
          <w:sz w:val="28"/>
          <w:szCs w:val="28"/>
        </w:rPr>
      </w:pPr>
      <w:r w:rsidRPr="00457DE2">
        <w:rPr>
          <w:b/>
          <w:bCs/>
          <w:sz w:val="28"/>
          <w:szCs w:val="28"/>
        </w:rPr>
        <w:t xml:space="preserve">GP </w:t>
      </w:r>
      <w:proofErr w:type="spellStart"/>
      <w:r w:rsidRPr="00457DE2">
        <w:rPr>
          <w:b/>
          <w:bCs/>
          <w:sz w:val="28"/>
          <w:szCs w:val="28"/>
        </w:rPr>
        <w:t>Chemet</w:t>
      </w:r>
      <w:proofErr w:type="spellEnd"/>
      <w:r w:rsidRPr="00457DE2">
        <w:rPr>
          <w:b/>
          <w:bCs/>
          <w:sz w:val="28"/>
          <w:szCs w:val="28"/>
        </w:rPr>
        <w:t xml:space="preserve"> Project – Wayne Scroggins (IS Manager) / Mark Scott (CFO)</w:t>
      </w:r>
    </w:p>
    <w:p w14:paraId="19FD92E4" w14:textId="44960082" w:rsidR="00457DE2" w:rsidRPr="00457DE2" w:rsidRDefault="00457DE2" w:rsidP="00A51B7F">
      <w:pPr>
        <w:spacing w:after="0"/>
        <w:jc w:val="center"/>
        <w:rPr>
          <w:lang w:val="fr-FR"/>
        </w:rPr>
      </w:pPr>
      <w:r w:rsidRPr="00457DE2">
        <w:rPr>
          <w:b/>
          <w:bCs/>
          <w:lang w:val="fr-FR"/>
        </w:rPr>
        <w:t xml:space="preserve">GP Information - </w:t>
      </w:r>
      <w:hyperlink r:id="rId5" w:history="1">
        <w:r w:rsidRPr="00457DE2">
          <w:rPr>
            <w:rStyle w:val="Hyperlink"/>
            <w:b/>
            <w:bCs/>
            <w:lang w:val="fr-FR"/>
          </w:rPr>
          <w:t>https://victoriayudin.c</w:t>
        </w:r>
        <w:r w:rsidRPr="00457DE2">
          <w:rPr>
            <w:rStyle w:val="Hyperlink"/>
            <w:b/>
            <w:bCs/>
            <w:lang w:val="fr-FR"/>
          </w:rPr>
          <w:t>o</w:t>
        </w:r>
        <w:r w:rsidRPr="00457DE2">
          <w:rPr>
            <w:rStyle w:val="Hyperlink"/>
            <w:b/>
            <w:bCs/>
            <w:lang w:val="fr-FR"/>
          </w:rPr>
          <w:t>m/</w:t>
        </w:r>
      </w:hyperlink>
    </w:p>
    <w:p w14:paraId="5DB1A29A" w14:textId="02B7E768" w:rsidR="00457DE2" w:rsidRPr="00A51B7F" w:rsidRDefault="00457DE2" w:rsidP="00A51B7F">
      <w:pPr>
        <w:spacing w:after="0"/>
        <w:rPr>
          <w:b/>
          <w:bCs/>
          <w:sz w:val="40"/>
          <w:szCs w:val="40"/>
          <w:lang w:val="fr-FR"/>
        </w:rPr>
      </w:pPr>
      <w:r w:rsidRPr="00A51B7F">
        <w:rPr>
          <w:b/>
          <w:bCs/>
          <w:sz w:val="40"/>
          <w:szCs w:val="40"/>
          <w:lang w:val="fr-FR"/>
        </w:rPr>
        <w:t>GP Tables</w:t>
      </w:r>
    </w:p>
    <w:p w14:paraId="6AA95C8D" w14:textId="55136116" w:rsidR="00457DE2" w:rsidRPr="00A51B7F" w:rsidRDefault="00457DE2" w:rsidP="00A51B7F">
      <w:pPr>
        <w:pStyle w:val="ListParagraph"/>
        <w:numPr>
          <w:ilvl w:val="0"/>
          <w:numId w:val="1"/>
        </w:numPr>
        <w:spacing w:after="0"/>
        <w:rPr>
          <w:b/>
          <w:bCs/>
          <w:sz w:val="28"/>
          <w:szCs w:val="28"/>
        </w:rPr>
      </w:pPr>
      <w:r w:rsidRPr="00A51B7F">
        <w:rPr>
          <w:b/>
          <w:bCs/>
          <w:sz w:val="28"/>
          <w:szCs w:val="28"/>
        </w:rPr>
        <w:t xml:space="preserve">Inventory Tables - </w:t>
      </w:r>
      <w:r w:rsidRPr="00A51B7F">
        <w:rPr>
          <w:rStyle w:val="Emphasis"/>
          <w:rFonts w:cs="Arial"/>
          <w:b/>
          <w:bCs/>
          <w:color w:val="993300"/>
          <w:sz w:val="28"/>
          <w:szCs w:val="28"/>
          <w:bdr w:val="none" w:sz="0" w:space="0" w:color="auto" w:frame="1"/>
        </w:rPr>
        <w:t xml:space="preserve">Last Updated: Oct 20, </w:t>
      </w:r>
      <w:r w:rsidRPr="00A51B7F">
        <w:rPr>
          <w:rStyle w:val="Emphasis"/>
          <w:rFonts w:cs="Arial"/>
          <w:b/>
          <w:bCs/>
          <w:color w:val="993300"/>
          <w:sz w:val="28"/>
          <w:szCs w:val="28"/>
          <w:bdr w:val="none" w:sz="0" w:space="0" w:color="auto" w:frame="1"/>
        </w:rPr>
        <w:t>2023, (Website)</w:t>
      </w:r>
    </w:p>
    <w:p w14:paraId="1FEE89ED"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Commonly Used Tables:</w:t>
      </w:r>
      <w:r>
        <w:rPr>
          <w:rFonts w:ascii="Arial" w:hAnsi="Arial" w:cs="Arial"/>
          <w:color w:val="333333"/>
          <w:sz w:val="21"/>
          <w:szCs w:val="21"/>
        </w:rPr>
        <w:br/>
        <w:t>IV00101 – Item Master</w:t>
      </w:r>
      <w:r>
        <w:rPr>
          <w:rFonts w:ascii="Arial" w:hAnsi="Arial" w:cs="Arial"/>
          <w:color w:val="333333"/>
          <w:sz w:val="21"/>
          <w:szCs w:val="21"/>
        </w:rPr>
        <w:br/>
        <w:t>IV00102 – Item Quantity Master</w:t>
      </w:r>
      <w:r>
        <w:rPr>
          <w:rFonts w:ascii="Arial" w:hAnsi="Arial" w:cs="Arial"/>
          <w:color w:val="333333"/>
          <w:sz w:val="21"/>
          <w:szCs w:val="21"/>
        </w:rPr>
        <w:br/>
        <w:t>IV00103 – Item Vendor Master</w:t>
      </w:r>
      <w:r>
        <w:rPr>
          <w:rFonts w:ascii="Arial" w:hAnsi="Arial" w:cs="Arial"/>
          <w:color w:val="333333"/>
          <w:sz w:val="21"/>
          <w:szCs w:val="21"/>
        </w:rPr>
        <w:br/>
        <w:t>IV00104 – Item Kit Master</w:t>
      </w:r>
      <w:r>
        <w:rPr>
          <w:rFonts w:ascii="Arial" w:hAnsi="Arial" w:cs="Arial"/>
          <w:color w:val="333333"/>
          <w:sz w:val="21"/>
          <w:szCs w:val="21"/>
        </w:rPr>
        <w:br/>
        <w:t>IV00105 – Item Currency Master</w:t>
      </w:r>
      <w:r>
        <w:rPr>
          <w:rFonts w:ascii="Arial" w:hAnsi="Arial" w:cs="Arial"/>
          <w:color w:val="333333"/>
          <w:sz w:val="21"/>
          <w:szCs w:val="21"/>
        </w:rPr>
        <w:br/>
        <w:t>IV00106 – Item Purchasing</w:t>
      </w:r>
      <w:r>
        <w:rPr>
          <w:rFonts w:ascii="Arial" w:hAnsi="Arial" w:cs="Arial"/>
          <w:color w:val="333333"/>
          <w:sz w:val="21"/>
          <w:szCs w:val="21"/>
        </w:rPr>
        <w:br/>
        <w:t>IV00107 – Item Price List Options</w:t>
      </w:r>
      <w:r>
        <w:rPr>
          <w:rFonts w:ascii="Arial" w:hAnsi="Arial" w:cs="Arial"/>
          <w:color w:val="333333"/>
          <w:sz w:val="21"/>
          <w:szCs w:val="21"/>
        </w:rPr>
        <w:br/>
        <w:t>IV00108 – Item Price List</w:t>
      </w:r>
      <w:r>
        <w:rPr>
          <w:rFonts w:ascii="Arial" w:hAnsi="Arial" w:cs="Arial"/>
          <w:color w:val="333333"/>
          <w:sz w:val="21"/>
          <w:szCs w:val="21"/>
        </w:rPr>
        <w:br/>
        <w:t>IV00109 – Item Serial Number Mask</w:t>
      </w:r>
      <w:r>
        <w:rPr>
          <w:rFonts w:ascii="Arial" w:hAnsi="Arial" w:cs="Arial"/>
          <w:color w:val="333333"/>
          <w:sz w:val="21"/>
          <w:szCs w:val="21"/>
        </w:rPr>
        <w:br/>
        <w:t>IV00111 – Site Defaults</w:t>
      </w:r>
      <w:r>
        <w:rPr>
          <w:rFonts w:ascii="Arial" w:hAnsi="Arial" w:cs="Arial"/>
          <w:color w:val="333333"/>
          <w:sz w:val="21"/>
          <w:szCs w:val="21"/>
        </w:rPr>
        <w:br/>
        <w:t>IV00112 – Item Site Bin Master</w:t>
      </w:r>
      <w:r>
        <w:rPr>
          <w:rFonts w:ascii="Arial" w:hAnsi="Arial" w:cs="Arial"/>
          <w:color w:val="333333"/>
          <w:sz w:val="21"/>
          <w:szCs w:val="21"/>
        </w:rPr>
        <w:br/>
        <w:t>IV00113 – Item Price List Details</w:t>
      </w:r>
      <w:r>
        <w:rPr>
          <w:rFonts w:ascii="Arial" w:hAnsi="Arial" w:cs="Arial"/>
          <w:color w:val="333333"/>
          <w:sz w:val="21"/>
          <w:szCs w:val="21"/>
        </w:rPr>
        <w:br/>
        <w:t>IV00118 – Item Cost Change History</w:t>
      </w:r>
      <w:r>
        <w:rPr>
          <w:rFonts w:ascii="Arial" w:hAnsi="Arial" w:cs="Arial"/>
          <w:color w:val="333333"/>
          <w:sz w:val="21"/>
          <w:szCs w:val="21"/>
        </w:rPr>
        <w:br/>
        <w:t>IV00200 – Item Serial Number Master</w:t>
      </w:r>
      <w:r>
        <w:rPr>
          <w:rFonts w:ascii="Arial" w:hAnsi="Arial" w:cs="Arial"/>
          <w:color w:val="333333"/>
          <w:sz w:val="21"/>
          <w:szCs w:val="21"/>
        </w:rPr>
        <w:br/>
        <w:t>IV00300 – Lot Number Master</w:t>
      </w:r>
      <w:r>
        <w:rPr>
          <w:rFonts w:ascii="Arial" w:hAnsi="Arial" w:cs="Arial"/>
          <w:color w:val="333333"/>
          <w:sz w:val="21"/>
          <w:szCs w:val="21"/>
        </w:rPr>
        <w:br/>
        <w:t>IV00301 – Lot Attribute Master</w:t>
      </w:r>
      <w:r>
        <w:rPr>
          <w:rFonts w:ascii="Arial" w:hAnsi="Arial" w:cs="Arial"/>
          <w:color w:val="333333"/>
          <w:sz w:val="21"/>
          <w:szCs w:val="21"/>
        </w:rPr>
        <w:br/>
        <w:t>IV10000 – Unposted/Work Transactions (header)</w:t>
      </w:r>
      <w:r>
        <w:rPr>
          <w:rFonts w:ascii="Arial" w:hAnsi="Arial" w:cs="Arial"/>
          <w:color w:val="333333"/>
          <w:sz w:val="21"/>
          <w:szCs w:val="21"/>
        </w:rPr>
        <w:br/>
        <w:t>IV10001 – Unposted/Work Transactions (line detail)</w:t>
      </w:r>
      <w:r>
        <w:rPr>
          <w:rFonts w:ascii="Arial" w:hAnsi="Arial" w:cs="Arial"/>
          <w:color w:val="333333"/>
          <w:sz w:val="21"/>
          <w:szCs w:val="21"/>
        </w:rPr>
        <w:br/>
        <w:t>IV10002 – Serial and Lot Number Work</w:t>
      </w:r>
      <w:r>
        <w:rPr>
          <w:rFonts w:ascii="Arial" w:hAnsi="Arial" w:cs="Arial"/>
          <w:color w:val="333333"/>
          <w:sz w:val="21"/>
          <w:szCs w:val="21"/>
        </w:rPr>
        <w:br/>
        <w:t>IV10200 – Purchase Receipts (header)</w:t>
      </w:r>
      <w:r>
        <w:rPr>
          <w:rFonts w:ascii="Arial" w:hAnsi="Arial" w:cs="Arial"/>
          <w:color w:val="333333"/>
          <w:sz w:val="21"/>
          <w:szCs w:val="21"/>
        </w:rPr>
        <w:br/>
        <w:t>IV10201 – Purchase Receipts Detail (line detail)</w:t>
      </w:r>
      <w:r>
        <w:rPr>
          <w:rFonts w:ascii="Arial" w:hAnsi="Arial" w:cs="Arial"/>
          <w:color w:val="333333"/>
          <w:sz w:val="21"/>
          <w:szCs w:val="21"/>
        </w:rPr>
        <w:br/>
        <w:t>IV10300 – Unposted Stock Count (header)</w:t>
      </w:r>
      <w:r>
        <w:rPr>
          <w:rFonts w:ascii="Arial" w:hAnsi="Arial" w:cs="Arial"/>
          <w:color w:val="333333"/>
          <w:sz w:val="21"/>
          <w:szCs w:val="21"/>
        </w:rPr>
        <w:br/>
        <w:t>IV10301 – Unposted Stock Count (line detail)</w:t>
      </w:r>
      <w:r>
        <w:rPr>
          <w:rFonts w:ascii="Arial" w:hAnsi="Arial" w:cs="Arial"/>
          <w:color w:val="333333"/>
          <w:sz w:val="21"/>
          <w:szCs w:val="21"/>
        </w:rPr>
        <w:br/>
        <w:t>IV30101 – Sales Summary History</w:t>
      </w:r>
      <w:r>
        <w:rPr>
          <w:rFonts w:ascii="Arial" w:hAnsi="Arial" w:cs="Arial"/>
          <w:color w:val="333333"/>
          <w:sz w:val="21"/>
          <w:szCs w:val="21"/>
        </w:rPr>
        <w:br/>
        <w:t>IV30102 – Sales Summary Period History</w:t>
      </w:r>
      <w:r>
        <w:rPr>
          <w:rFonts w:ascii="Arial" w:hAnsi="Arial" w:cs="Arial"/>
          <w:color w:val="333333"/>
          <w:sz w:val="21"/>
          <w:szCs w:val="21"/>
        </w:rPr>
        <w:br/>
        <w:t>IV30200 – Transaction History (header)</w:t>
      </w:r>
      <w:r>
        <w:rPr>
          <w:rFonts w:ascii="Arial" w:hAnsi="Arial" w:cs="Arial"/>
          <w:color w:val="333333"/>
          <w:sz w:val="21"/>
          <w:szCs w:val="21"/>
        </w:rPr>
        <w:br/>
        <w:t>IV30300 – Transaction Amounts History (line detail)</w:t>
      </w:r>
      <w:r>
        <w:rPr>
          <w:rFonts w:ascii="Arial" w:hAnsi="Arial" w:cs="Arial"/>
          <w:color w:val="333333"/>
          <w:sz w:val="21"/>
          <w:szCs w:val="21"/>
        </w:rPr>
        <w:br/>
        <w:t>IV30301 – Transaction Amounts Detail History</w:t>
      </w:r>
      <w:r>
        <w:rPr>
          <w:rFonts w:ascii="Arial" w:hAnsi="Arial" w:cs="Arial"/>
          <w:color w:val="333333"/>
          <w:sz w:val="21"/>
          <w:szCs w:val="21"/>
        </w:rPr>
        <w:br/>
        <w:t>IV30400 – Serial and Lot Number History</w:t>
      </w:r>
      <w:r>
        <w:rPr>
          <w:rFonts w:ascii="Arial" w:hAnsi="Arial" w:cs="Arial"/>
          <w:color w:val="333333"/>
          <w:sz w:val="21"/>
          <w:szCs w:val="21"/>
        </w:rPr>
        <w:br/>
        <w:t>IV30500 – Distribution History</w:t>
      </w:r>
      <w:r>
        <w:rPr>
          <w:rFonts w:ascii="Arial" w:hAnsi="Arial" w:cs="Arial"/>
          <w:color w:val="333333"/>
          <w:sz w:val="21"/>
          <w:szCs w:val="21"/>
        </w:rPr>
        <w:br/>
        <w:t>IV30600 – Lot Attribute History</w:t>
      </w:r>
      <w:r>
        <w:rPr>
          <w:rFonts w:ascii="Arial" w:hAnsi="Arial" w:cs="Arial"/>
          <w:color w:val="333333"/>
          <w:sz w:val="21"/>
          <w:szCs w:val="21"/>
        </w:rPr>
        <w:br/>
        <w:t>IV30700 – Stock Count History (header)</w:t>
      </w:r>
      <w:r>
        <w:rPr>
          <w:rFonts w:ascii="Arial" w:hAnsi="Arial" w:cs="Arial"/>
          <w:color w:val="333333"/>
          <w:sz w:val="21"/>
          <w:szCs w:val="21"/>
        </w:rPr>
        <w:br/>
        <w:t>IV30701 – Stock Count Line History (line detail)</w:t>
      </w:r>
      <w:r>
        <w:rPr>
          <w:rFonts w:ascii="Arial" w:hAnsi="Arial" w:cs="Arial"/>
          <w:color w:val="333333"/>
          <w:sz w:val="21"/>
          <w:szCs w:val="21"/>
        </w:rPr>
        <w:br/>
        <w:t>IV40400 – Item Class Setup</w:t>
      </w:r>
      <w:r>
        <w:rPr>
          <w:rFonts w:ascii="Arial" w:hAnsi="Arial" w:cs="Arial"/>
          <w:color w:val="333333"/>
          <w:sz w:val="21"/>
          <w:szCs w:val="21"/>
        </w:rPr>
        <w:br/>
        <w:t>IV40201 – U of M Schedule Setup (header)</w:t>
      </w:r>
      <w:r>
        <w:rPr>
          <w:rFonts w:ascii="Arial" w:hAnsi="Arial" w:cs="Arial"/>
          <w:color w:val="333333"/>
          <w:sz w:val="21"/>
          <w:szCs w:val="21"/>
        </w:rPr>
        <w:br/>
        <w:t>IV40202 – U of M Schedule Detail Setup</w:t>
      </w:r>
      <w:r>
        <w:rPr>
          <w:rFonts w:ascii="Arial" w:hAnsi="Arial" w:cs="Arial"/>
          <w:color w:val="333333"/>
          <w:sz w:val="21"/>
          <w:szCs w:val="21"/>
        </w:rPr>
        <w:br/>
        <w:t>IV40600 – Item Category Setup</w:t>
      </w:r>
      <w:r>
        <w:rPr>
          <w:rFonts w:ascii="Arial" w:hAnsi="Arial" w:cs="Arial"/>
          <w:color w:val="333333"/>
          <w:sz w:val="21"/>
          <w:szCs w:val="21"/>
        </w:rPr>
        <w:br/>
        <w:t>IV40700 – Site Setup</w:t>
      </w:r>
      <w:r>
        <w:rPr>
          <w:rFonts w:ascii="Arial" w:hAnsi="Arial" w:cs="Arial"/>
          <w:color w:val="333333"/>
          <w:sz w:val="21"/>
          <w:szCs w:val="21"/>
        </w:rPr>
        <w:br/>
        <w:t>IV40800 – Price Level Setup</w:t>
      </w:r>
    </w:p>
    <w:p w14:paraId="637EACC4"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1D2DFFF3"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Bill of Materials Tables:</w:t>
      </w:r>
      <w:r>
        <w:rPr>
          <w:rFonts w:ascii="Arial" w:hAnsi="Arial" w:cs="Arial"/>
          <w:color w:val="333333"/>
          <w:sz w:val="21"/>
          <w:szCs w:val="21"/>
        </w:rPr>
        <w:br/>
        <w:t>BM00101 – Bill of Materials Header</w:t>
      </w:r>
      <w:r>
        <w:rPr>
          <w:rFonts w:ascii="Arial" w:hAnsi="Arial" w:cs="Arial"/>
          <w:color w:val="333333"/>
          <w:sz w:val="21"/>
          <w:szCs w:val="21"/>
        </w:rPr>
        <w:br/>
        <w:t>BM00111 – Bill of Materials Component</w:t>
      </w:r>
      <w:r>
        <w:rPr>
          <w:rFonts w:ascii="Arial" w:hAnsi="Arial" w:cs="Arial"/>
          <w:color w:val="333333"/>
          <w:sz w:val="21"/>
          <w:szCs w:val="21"/>
        </w:rPr>
        <w:br/>
        <w:t>BM10200 – Assembly Transaction (header)</w:t>
      </w:r>
      <w:r>
        <w:rPr>
          <w:rFonts w:ascii="Arial" w:hAnsi="Arial" w:cs="Arial"/>
          <w:color w:val="333333"/>
          <w:sz w:val="21"/>
          <w:szCs w:val="21"/>
        </w:rPr>
        <w:br/>
        <w:t>BM10300 – Assembly Component (line detail)</w:t>
      </w:r>
      <w:r>
        <w:rPr>
          <w:rFonts w:ascii="Arial" w:hAnsi="Arial" w:cs="Arial"/>
          <w:color w:val="333333"/>
          <w:sz w:val="21"/>
          <w:szCs w:val="21"/>
        </w:rPr>
        <w:br/>
        <w:t>BM10400 – Assembly Serial/Lot</w:t>
      </w:r>
      <w:r>
        <w:rPr>
          <w:rFonts w:ascii="Arial" w:hAnsi="Arial" w:cs="Arial"/>
          <w:color w:val="333333"/>
          <w:sz w:val="21"/>
          <w:szCs w:val="21"/>
        </w:rPr>
        <w:br/>
      </w:r>
      <w:r>
        <w:rPr>
          <w:rFonts w:ascii="Arial" w:hAnsi="Arial" w:cs="Arial"/>
          <w:color w:val="333333"/>
          <w:sz w:val="21"/>
          <w:szCs w:val="21"/>
        </w:rPr>
        <w:lastRenderedPageBreak/>
        <w:t>BM30100 – Assembly Batch History</w:t>
      </w:r>
      <w:r>
        <w:rPr>
          <w:rFonts w:ascii="Arial" w:hAnsi="Arial" w:cs="Arial"/>
          <w:color w:val="333333"/>
          <w:sz w:val="21"/>
          <w:szCs w:val="21"/>
        </w:rPr>
        <w:br/>
        <w:t>BM30200 – Assembly Transaction History (header)</w:t>
      </w:r>
      <w:r>
        <w:rPr>
          <w:rFonts w:ascii="Arial" w:hAnsi="Arial" w:cs="Arial"/>
          <w:color w:val="333333"/>
          <w:sz w:val="21"/>
          <w:szCs w:val="21"/>
        </w:rPr>
        <w:br/>
        <w:t>BM30300 – Assembly Component History (line detail)</w:t>
      </w:r>
      <w:r>
        <w:rPr>
          <w:rFonts w:ascii="Arial" w:hAnsi="Arial" w:cs="Arial"/>
          <w:color w:val="333333"/>
          <w:sz w:val="21"/>
          <w:szCs w:val="21"/>
        </w:rPr>
        <w:br/>
        <w:t>BM30400 – Assembly Serial/Lot History</w:t>
      </w:r>
      <w:r>
        <w:rPr>
          <w:rFonts w:ascii="Arial" w:hAnsi="Arial" w:cs="Arial"/>
          <w:color w:val="333333"/>
          <w:sz w:val="21"/>
          <w:szCs w:val="21"/>
        </w:rPr>
        <w:br/>
        <w:t>BM40100 – Bill of Materials Setup</w:t>
      </w:r>
    </w:p>
    <w:p w14:paraId="43BD77D9" w14:textId="77777777" w:rsidR="00457DE2" w:rsidRDefault="00457DE2" w:rsidP="00A51B7F">
      <w:pPr>
        <w:pStyle w:val="ListParagraph"/>
        <w:spacing w:after="0"/>
        <w:rPr>
          <w:rFonts w:ascii="Arial" w:hAnsi="Arial" w:cs="Arial"/>
          <w:color w:val="333333"/>
          <w:sz w:val="21"/>
          <w:szCs w:val="21"/>
        </w:rPr>
      </w:pPr>
    </w:p>
    <w:p w14:paraId="382377F3"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08C0BF42"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Inventory Transaction Document Types:</w:t>
      </w:r>
      <w:r>
        <w:rPr>
          <w:rFonts w:ascii="Arial" w:hAnsi="Arial" w:cs="Arial"/>
          <w:color w:val="333333"/>
          <w:sz w:val="21"/>
          <w:szCs w:val="21"/>
        </w:rPr>
        <w:br/>
        <w:t>1 – Inventory Adjustment</w:t>
      </w:r>
      <w:r>
        <w:rPr>
          <w:rFonts w:ascii="Arial" w:hAnsi="Arial" w:cs="Arial"/>
          <w:color w:val="333333"/>
          <w:sz w:val="21"/>
          <w:szCs w:val="21"/>
        </w:rPr>
        <w:br/>
        <w:t>2 – Variance</w:t>
      </w:r>
      <w:r>
        <w:rPr>
          <w:rFonts w:ascii="Arial" w:hAnsi="Arial" w:cs="Arial"/>
          <w:color w:val="333333"/>
          <w:sz w:val="21"/>
          <w:szCs w:val="21"/>
        </w:rPr>
        <w:br/>
        <w:t>3 – Inventory Transfer</w:t>
      </w:r>
      <w:r>
        <w:rPr>
          <w:rFonts w:ascii="Arial" w:hAnsi="Arial" w:cs="Arial"/>
          <w:color w:val="333333"/>
          <w:sz w:val="21"/>
          <w:szCs w:val="21"/>
        </w:rPr>
        <w:br/>
        <w:t>4 – Purchase Receipt</w:t>
      </w:r>
      <w:r>
        <w:rPr>
          <w:rFonts w:ascii="Arial" w:hAnsi="Arial" w:cs="Arial"/>
          <w:color w:val="333333"/>
          <w:sz w:val="21"/>
          <w:szCs w:val="21"/>
        </w:rPr>
        <w:br/>
        <w:t>5 – Sales Returns</w:t>
      </w:r>
      <w:r>
        <w:rPr>
          <w:rFonts w:ascii="Arial" w:hAnsi="Arial" w:cs="Arial"/>
          <w:color w:val="333333"/>
          <w:sz w:val="21"/>
          <w:szCs w:val="21"/>
        </w:rPr>
        <w:br/>
        <w:t>6 – Sales Invoices</w:t>
      </w:r>
      <w:r>
        <w:rPr>
          <w:rFonts w:ascii="Arial" w:hAnsi="Arial" w:cs="Arial"/>
          <w:color w:val="333333"/>
          <w:sz w:val="21"/>
          <w:szCs w:val="21"/>
        </w:rPr>
        <w:br/>
        <w:t>7 – Assembly</w:t>
      </w:r>
      <w:r>
        <w:rPr>
          <w:rFonts w:ascii="Arial" w:hAnsi="Arial" w:cs="Arial"/>
          <w:color w:val="333333"/>
          <w:sz w:val="21"/>
          <w:szCs w:val="21"/>
        </w:rPr>
        <w:br/>
        <w:t>8 – Inventory cost adjustment from POP Shipment (transaction source GLTRX)</w:t>
      </w:r>
      <w:r>
        <w:rPr>
          <w:rFonts w:ascii="Arial" w:hAnsi="Arial" w:cs="Arial"/>
          <w:color w:val="333333"/>
          <w:sz w:val="21"/>
          <w:szCs w:val="21"/>
        </w:rPr>
        <w:br/>
        <w:t>11 – Inventory cost adjustment from POP Invoice (transaction source POIVC)</w:t>
      </w:r>
    </w:p>
    <w:p w14:paraId="112A620A"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6576005F"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Inventory Valuation Methods:</w:t>
      </w:r>
      <w:r>
        <w:rPr>
          <w:rFonts w:ascii="Arial" w:hAnsi="Arial" w:cs="Arial"/>
          <w:color w:val="333333"/>
          <w:sz w:val="21"/>
          <w:szCs w:val="21"/>
        </w:rPr>
        <w:br/>
        <w:t>1 – FIFO Perpetual</w:t>
      </w:r>
      <w:r>
        <w:rPr>
          <w:rFonts w:ascii="Arial" w:hAnsi="Arial" w:cs="Arial"/>
          <w:color w:val="333333"/>
          <w:sz w:val="21"/>
          <w:szCs w:val="21"/>
        </w:rPr>
        <w:br/>
        <w:t>2 – LIFO Perpetual</w:t>
      </w:r>
      <w:r>
        <w:rPr>
          <w:rFonts w:ascii="Arial" w:hAnsi="Arial" w:cs="Arial"/>
          <w:color w:val="333333"/>
          <w:sz w:val="21"/>
          <w:szCs w:val="21"/>
        </w:rPr>
        <w:br/>
        <w:t>3 – Average Perpetual</w:t>
      </w:r>
      <w:r>
        <w:rPr>
          <w:rFonts w:ascii="Arial" w:hAnsi="Arial" w:cs="Arial"/>
          <w:color w:val="333333"/>
          <w:sz w:val="21"/>
          <w:szCs w:val="21"/>
        </w:rPr>
        <w:br/>
        <w:t>4 – FIFO Periodic</w:t>
      </w:r>
      <w:r>
        <w:rPr>
          <w:rFonts w:ascii="Arial" w:hAnsi="Arial" w:cs="Arial"/>
          <w:color w:val="333333"/>
          <w:sz w:val="21"/>
          <w:szCs w:val="21"/>
        </w:rPr>
        <w:br/>
        <w:t>5 – LIFO Periodic</w:t>
      </w:r>
    </w:p>
    <w:p w14:paraId="52C951DA" w14:textId="77777777" w:rsidR="00457DE2" w:rsidRDefault="00457DE2" w:rsidP="00A51B7F">
      <w:pPr>
        <w:pStyle w:val="ListParagraph"/>
        <w:spacing w:after="0"/>
        <w:rPr>
          <w:rFonts w:ascii="Arial" w:hAnsi="Arial" w:cs="Arial"/>
          <w:color w:val="333333"/>
          <w:sz w:val="21"/>
          <w:szCs w:val="21"/>
        </w:rPr>
      </w:pPr>
    </w:p>
    <w:p w14:paraId="6BFC8D65"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7AF91B98"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Item Types:</w:t>
      </w:r>
      <w:r>
        <w:rPr>
          <w:rFonts w:ascii="Arial" w:hAnsi="Arial" w:cs="Arial"/>
          <w:color w:val="333333"/>
          <w:sz w:val="21"/>
          <w:szCs w:val="21"/>
        </w:rPr>
        <w:br/>
        <w:t>1 – Sales Inventory</w:t>
      </w:r>
      <w:r>
        <w:rPr>
          <w:rFonts w:ascii="Arial" w:hAnsi="Arial" w:cs="Arial"/>
          <w:color w:val="333333"/>
          <w:sz w:val="21"/>
          <w:szCs w:val="21"/>
        </w:rPr>
        <w:br/>
        <w:t>2 – Discontinued</w:t>
      </w:r>
      <w:r>
        <w:rPr>
          <w:rFonts w:ascii="Arial" w:hAnsi="Arial" w:cs="Arial"/>
          <w:color w:val="333333"/>
          <w:sz w:val="21"/>
          <w:szCs w:val="21"/>
        </w:rPr>
        <w:br/>
        <w:t>3 – Kit</w:t>
      </w:r>
      <w:r>
        <w:rPr>
          <w:rFonts w:ascii="Arial" w:hAnsi="Arial" w:cs="Arial"/>
          <w:color w:val="333333"/>
          <w:sz w:val="21"/>
          <w:szCs w:val="21"/>
        </w:rPr>
        <w:br/>
        <w:t>4 – Misc Charges</w:t>
      </w:r>
      <w:r>
        <w:rPr>
          <w:rFonts w:ascii="Arial" w:hAnsi="Arial" w:cs="Arial"/>
          <w:color w:val="333333"/>
          <w:sz w:val="21"/>
          <w:szCs w:val="21"/>
        </w:rPr>
        <w:br/>
        <w:t>5 – Services</w:t>
      </w:r>
      <w:r>
        <w:rPr>
          <w:rFonts w:ascii="Arial" w:hAnsi="Arial" w:cs="Arial"/>
          <w:color w:val="333333"/>
          <w:sz w:val="21"/>
          <w:szCs w:val="21"/>
        </w:rPr>
        <w:br/>
        <w:t>6 – Flat Fee</w:t>
      </w:r>
    </w:p>
    <w:p w14:paraId="4EC83732"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41A48351"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RCRDTYPE (Record Type) in IV00102:</w:t>
      </w:r>
      <w:r>
        <w:rPr>
          <w:rFonts w:ascii="Arial" w:hAnsi="Arial" w:cs="Arial"/>
          <w:color w:val="333333"/>
          <w:sz w:val="21"/>
          <w:szCs w:val="21"/>
        </w:rPr>
        <w:br/>
        <w:t>1 – Overall record (total for all sites)</w:t>
      </w:r>
      <w:r>
        <w:rPr>
          <w:rFonts w:ascii="Arial" w:hAnsi="Arial" w:cs="Arial"/>
          <w:color w:val="333333"/>
          <w:sz w:val="21"/>
          <w:szCs w:val="21"/>
        </w:rPr>
        <w:br/>
        <w:t>2 – Site record</w:t>
      </w:r>
    </w:p>
    <w:p w14:paraId="2CED0C6A"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5F4E7FE2"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ORDERPOLICY (Order Policy) in IV00102:</w:t>
      </w:r>
      <w:r>
        <w:rPr>
          <w:rFonts w:ascii="Arial" w:hAnsi="Arial" w:cs="Arial"/>
          <w:color w:val="333333"/>
          <w:sz w:val="21"/>
          <w:szCs w:val="21"/>
        </w:rPr>
        <w:br/>
        <w:t>1 – Not planned</w:t>
      </w:r>
      <w:r>
        <w:rPr>
          <w:rFonts w:ascii="Arial" w:hAnsi="Arial" w:cs="Arial"/>
          <w:color w:val="333333"/>
          <w:sz w:val="21"/>
          <w:szCs w:val="21"/>
        </w:rPr>
        <w:br/>
        <w:t>2 – Lot for Lot</w:t>
      </w:r>
      <w:r>
        <w:rPr>
          <w:rFonts w:ascii="Arial" w:hAnsi="Arial" w:cs="Arial"/>
          <w:color w:val="333333"/>
          <w:sz w:val="21"/>
          <w:szCs w:val="21"/>
        </w:rPr>
        <w:br/>
        <w:t>3 – Fixed Order Quantity</w:t>
      </w:r>
      <w:r>
        <w:rPr>
          <w:rFonts w:ascii="Arial" w:hAnsi="Arial" w:cs="Arial"/>
          <w:color w:val="333333"/>
          <w:sz w:val="21"/>
          <w:szCs w:val="21"/>
        </w:rPr>
        <w:br/>
        <w:t>4 – Period Order Quantity</w:t>
      </w:r>
      <w:r>
        <w:rPr>
          <w:rFonts w:ascii="Arial" w:hAnsi="Arial" w:cs="Arial"/>
          <w:color w:val="333333"/>
          <w:sz w:val="21"/>
          <w:szCs w:val="21"/>
        </w:rPr>
        <w:br/>
        <w:t>5 – Order Point</w:t>
      </w:r>
      <w:r>
        <w:rPr>
          <w:rFonts w:ascii="Arial" w:hAnsi="Arial" w:cs="Arial"/>
          <w:color w:val="333333"/>
          <w:sz w:val="21"/>
          <w:szCs w:val="21"/>
        </w:rPr>
        <w:br/>
        <w:t>6 – Manually Planned</w:t>
      </w:r>
    </w:p>
    <w:p w14:paraId="74BD726E"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618CE98D"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ITMVNDTY (Item Vendor Type) in IV00103:</w:t>
      </w:r>
      <w:r>
        <w:rPr>
          <w:rFonts w:ascii="Arial" w:hAnsi="Arial" w:cs="Arial"/>
          <w:color w:val="333333"/>
          <w:sz w:val="21"/>
          <w:szCs w:val="21"/>
        </w:rPr>
        <w:br/>
        <w:t>1 – Primary Vendor</w:t>
      </w:r>
      <w:r>
        <w:rPr>
          <w:rFonts w:ascii="Arial" w:hAnsi="Arial" w:cs="Arial"/>
          <w:color w:val="333333"/>
          <w:sz w:val="21"/>
          <w:szCs w:val="21"/>
        </w:rPr>
        <w:br/>
        <w:t>2 – Non-primary Vendor</w:t>
      </w:r>
    </w:p>
    <w:p w14:paraId="75E8A800"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Quantity Types:</w:t>
      </w:r>
      <w:r>
        <w:rPr>
          <w:rFonts w:ascii="Arial" w:hAnsi="Arial" w:cs="Arial"/>
          <w:color w:val="333333"/>
          <w:sz w:val="21"/>
          <w:szCs w:val="21"/>
        </w:rPr>
        <w:br/>
        <w:t>1 – On Hand</w:t>
      </w:r>
      <w:r>
        <w:rPr>
          <w:rFonts w:ascii="Arial" w:hAnsi="Arial" w:cs="Arial"/>
          <w:color w:val="333333"/>
          <w:sz w:val="21"/>
          <w:szCs w:val="21"/>
        </w:rPr>
        <w:br/>
        <w:t>2 – Returned</w:t>
      </w:r>
      <w:r>
        <w:rPr>
          <w:rFonts w:ascii="Arial" w:hAnsi="Arial" w:cs="Arial"/>
          <w:color w:val="333333"/>
          <w:sz w:val="21"/>
          <w:szCs w:val="21"/>
        </w:rPr>
        <w:br/>
        <w:t>3 – In Use</w:t>
      </w:r>
      <w:r>
        <w:rPr>
          <w:rFonts w:ascii="Arial" w:hAnsi="Arial" w:cs="Arial"/>
          <w:color w:val="333333"/>
          <w:sz w:val="21"/>
          <w:szCs w:val="21"/>
        </w:rPr>
        <w:br/>
      </w:r>
      <w:r>
        <w:rPr>
          <w:rFonts w:ascii="Arial" w:hAnsi="Arial" w:cs="Arial"/>
          <w:color w:val="333333"/>
          <w:sz w:val="21"/>
          <w:szCs w:val="21"/>
        </w:rPr>
        <w:lastRenderedPageBreak/>
        <w:t>4 – In Service</w:t>
      </w:r>
      <w:r>
        <w:rPr>
          <w:rFonts w:ascii="Arial" w:hAnsi="Arial" w:cs="Arial"/>
          <w:color w:val="333333"/>
          <w:sz w:val="21"/>
          <w:szCs w:val="21"/>
        </w:rPr>
        <w:br/>
        <w:t>5 – Damaged</w:t>
      </w:r>
    </w:p>
    <w:p w14:paraId="5C09467A"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798209C6"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Decimal Places:</w:t>
      </w:r>
      <w:r>
        <w:rPr>
          <w:rFonts w:ascii="Arial" w:hAnsi="Arial" w:cs="Arial"/>
          <w:color w:val="333333"/>
          <w:sz w:val="21"/>
          <w:szCs w:val="21"/>
        </w:rPr>
        <w:br/>
        <w:t>1 – 0</w:t>
      </w:r>
      <w:r>
        <w:rPr>
          <w:rFonts w:ascii="Arial" w:hAnsi="Arial" w:cs="Arial"/>
          <w:color w:val="333333"/>
          <w:sz w:val="21"/>
          <w:szCs w:val="21"/>
        </w:rPr>
        <w:br/>
        <w:t>2 – 1</w:t>
      </w:r>
      <w:r>
        <w:rPr>
          <w:rFonts w:ascii="Arial" w:hAnsi="Arial" w:cs="Arial"/>
          <w:color w:val="333333"/>
          <w:sz w:val="21"/>
          <w:szCs w:val="21"/>
        </w:rPr>
        <w:br/>
        <w:t>3 – 2</w:t>
      </w:r>
      <w:r>
        <w:rPr>
          <w:rFonts w:ascii="Arial" w:hAnsi="Arial" w:cs="Arial"/>
          <w:color w:val="333333"/>
          <w:sz w:val="21"/>
          <w:szCs w:val="21"/>
        </w:rPr>
        <w:br/>
        <w:t>4 – 3</w:t>
      </w:r>
      <w:r>
        <w:rPr>
          <w:rFonts w:ascii="Arial" w:hAnsi="Arial" w:cs="Arial"/>
          <w:color w:val="333333"/>
          <w:sz w:val="21"/>
          <w:szCs w:val="21"/>
        </w:rPr>
        <w:br/>
        <w:t>5 – 4</w:t>
      </w:r>
      <w:r>
        <w:rPr>
          <w:rFonts w:ascii="Arial" w:hAnsi="Arial" w:cs="Arial"/>
          <w:color w:val="333333"/>
          <w:sz w:val="21"/>
          <w:szCs w:val="21"/>
        </w:rPr>
        <w:br/>
        <w:t>6 – 5</w:t>
      </w:r>
    </w:p>
    <w:p w14:paraId="6EC833FF"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0CBDE1DA" w14:textId="4839AB8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TAXOPTNS and Purchase</w:t>
      </w:r>
      <w:r>
        <w:rPr>
          <w:rStyle w:val="Strong"/>
          <w:rFonts w:ascii="Arial" w:eastAsiaTheme="majorEastAsia" w:hAnsi="Arial" w:cs="Arial"/>
          <w:color w:val="333333"/>
          <w:sz w:val="21"/>
          <w:szCs w:val="21"/>
          <w:u w:val="single"/>
          <w:bdr w:val="none" w:sz="0" w:space="0" w:color="auto" w:frame="1"/>
        </w:rPr>
        <w:t xml:space="preserve"> </w:t>
      </w:r>
      <w:r>
        <w:rPr>
          <w:rStyle w:val="Strong"/>
          <w:rFonts w:ascii="Arial" w:eastAsiaTheme="majorEastAsia" w:hAnsi="Arial" w:cs="Arial"/>
          <w:color w:val="333333"/>
          <w:sz w:val="21"/>
          <w:szCs w:val="21"/>
          <w:u w:val="single"/>
          <w:bdr w:val="none" w:sz="0" w:space="0" w:color="auto" w:frame="1"/>
        </w:rPr>
        <w:t>Tax</w:t>
      </w:r>
      <w:r>
        <w:rPr>
          <w:rStyle w:val="Strong"/>
          <w:rFonts w:ascii="Arial" w:eastAsiaTheme="majorEastAsia" w:hAnsi="Arial" w:cs="Arial"/>
          <w:color w:val="333333"/>
          <w:sz w:val="21"/>
          <w:szCs w:val="21"/>
          <w:u w:val="single"/>
          <w:bdr w:val="none" w:sz="0" w:space="0" w:color="auto" w:frame="1"/>
        </w:rPr>
        <w:t xml:space="preserve"> </w:t>
      </w:r>
      <w:r>
        <w:rPr>
          <w:rStyle w:val="Strong"/>
          <w:rFonts w:ascii="Arial" w:eastAsiaTheme="majorEastAsia" w:hAnsi="Arial" w:cs="Arial"/>
          <w:color w:val="333333"/>
          <w:sz w:val="21"/>
          <w:szCs w:val="21"/>
          <w:u w:val="single"/>
          <w:bdr w:val="none" w:sz="0" w:space="0" w:color="auto" w:frame="1"/>
        </w:rPr>
        <w:t>Options (Tax Options):</w:t>
      </w:r>
      <w:r>
        <w:rPr>
          <w:rFonts w:ascii="Arial" w:hAnsi="Arial" w:cs="Arial"/>
          <w:color w:val="333333"/>
          <w:sz w:val="21"/>
          <w:szCs w:val="21"/>
        </w:rPr>
        <w:br/>
        <w:t>1 – Taxable</w:t>
      </w:r>
      <w:r>
        <w:rPr>
          <w:rFonts w:ascii="Arial" w:hAnsi="Arial" w:cs="Arial"/>
          <w:color w:val="333333"/>
          <w:sz w:val="21"/>
          <w:szCs w:val="21"/>
        </w:rPr>
        <w:br/>
        <w:t>2 – Nontaxable</w:t>
      </w:r>
      <w:r>
        <w:rPr>
          <w:rFonts w:ascii="Arial" w:hAnsi="Arial" w:cs="Arial"/>
          <w:color w:val="333333"/>
          <w:sz w:val="21"/>
          <w:szCs w:val="21"/>
        </w:rPr>
        <w:br/>
        <w:t xml:space="preserve">3 – </w:t>
      </w:r>
      <w:proofErr w:type="gramStart"/>
      <w:r>
        <w:rPr>
          <w:rFonts w:ascii="Arial" w:hAnsi="Arial" w:cs="Arial"/>
          <w:color w:val="333333"/>
          <w:sz w:val="21"/>
          <w:szCs w:val="21"/>
        </w:rPr>
        <w:t>Base</w:t>
      </w:r>
      <w:proofErr w:type="gramEnd"/>
      <w:r>
        <w:rPr>
          <w:rFonts w:ascii="Arial" w:hAnsi="Arial" w:cs="Arial"/>
          <w:color w:val="333333"/>
          <w:sz w:val="21"/>
          <w:szCs w:val="21"/>
        </w:rPr>
        <w:t xml:space="preserve"> on customer / vendor</w:t>
      </w:r>
    </w:p>
    <w:p w14:paraId="230DBA36"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6B8E117A"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ITMTRKOP (Item Tracking Option):</w:t>
      </w:r>
      <w:r>
        <w:rPr>
          <w:rFonts w:ascii="Arial" w:hAnsi="Arial" w:cs="Arial"/>
          <w:color w:val="333333"/>
          <w:sz w:val="21"/>
          <w:szCs w:val="21"/>
        </w:rPr>
        <w:br/>
        <w:t>1 – None</w:t>
      </w:r>
      <w:r>
        <w:rPr>
          <w:rFonts w:ascii="Arial" w:hAnsi="Arial" w:cs="Arial"/>
          <w:color w:val="333333"/>
          <w:sz w:val="21"/>
          <w:szCs w:val="21"/>
        </w:rPr>
        <w:br/>
        <w:t>2 – Serial Numbers</w:t>
      </w:r>
      <w:r>
        <w:rPr>
          <w:rFonts w:ascii="Arial" w:hAnsi="Arial" w:cs="Arial"/>
          <w:color w:val="333333"/>
          <w:sz w:val="21"/>
          <w:szCs w:val="21"/>
        </w:rPr>
        <w:br/>
        <w:t>3 – Lot Numbers</w:t>
      </w:r>
    </w:p>
    <w:p w14:paraId="3F3519CE"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444178BF"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PRICMTHD (Price Method):</w:t>
      </w:r>
      <w:r>
        <w:rPr>
          <w:rFonts w:ascii="Arial" w:hAnsi="Arial" w:cs="Arial"/>
          <w:color w:val="333333"/>
          <w:sz w:val="21"/>
          <w:szCs w:val="21"/>
        </w:rPr>
        <w:br/>
        <w:t>1 – Currency Amount</w:t>
      </w:r>
      <w:r>
        <w:rPr>
          <w:rFonts w:ascii="Arial" w:hAnsi="Arial" w:cs="Arial"/>
          <w:color w:val="333333"/>
          <w:sz w:val="21"/>
          <w:szCs w:val="21"/>
        </w:rPr>
        <w:br/>
        <w:t>2 – % of List Price</w:t>
      </w:r>
      <w:r>
        <w:rPr>
          <w:rFonts w:ascii="Arial" w:hAnsi="Arial" w:cs="Arial"/>
          <w:color w:val="333333"/>
          <w:sz w:val="21"/>
          <w:szCs w:val="21"/>
        </w:rPr>
        <w:br/>
        <w:t>3 – % Markup – Current Cost</w:t>
      </w:r>
      <w:r>
        <w:rPr>
          <w:rFonts w:ascii="Arial" w:hAnsi="Arial" w:cs="Arial"/>
          <w:color w:val="333333"/>
          <w:sz w:val="21"/>
          <w:szCs w:val="21"/>
        </w:rPr>
        <w:br/>
        <w:t>4 – % Markup – Standard Cost</w:t>
      </w:r>
      <w:r>
        <w:rPr>
          <w:rFonts w:ascii="Arial" w:hAnsi="Arial" w:cs="Arial"/>
          <w:color w:val="333333"/>
          <w:sz w:val="21"/>
          <w:szCs w:val="21"/>
        </w:rPr>
        <w:br/>
        <w:t>5 – % Margin – Current Cost</w:t>
      </w:r>
      <w:r>
        <w:rPr>
          <w:rFonts w:ascii="Arial" w:hAnsi="Arial" w:cs="Arial"/>
          <w:color w:val="333333"/>
          <w:sz w:val="21"/>
          <w:szCs w:val="21"/>
        </w:rPr>
        <w:br/>
        <w:t>6 – % Margin – Standard Cost</w:t>
      </w:r>
    </w:p>
    <w:p w14:paraId="10B10ADD"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1EC201F1"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KTACCTSR (Kit COGS Account Source):</w:t>
      </w:r>
      <w:r>
        <w:rPr>
          <w:rFonts w:ascii="Arial" w:hAnsi="Arial" w:cs="Arial"/>
          <w:color w:val="333333"/>
          <w:sz w:val="21"/>
          <w:szCs w:val="21"/>
        </w:rPr>
        <w:br/>
        <w:t>0 – COGS accounts from component items</w:t>
      </w:r>
      <w:r>
        <w:rPr>
          <w:rFonts w:ascii="Arial" w:hAnsi="Arial" w:cs="Arial"/>
          <w:color w:val="333333"/>
          <w:sz w:val="21"/>
          <w:szCs w:val="21"/>
        </w:rPr>
        <w:br/>
        <w:t>1 – COGS account from kit</w:t>
      </w:r>
    </w:p>
    <w:p w14:paraId="0FA2E5C4"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13D14A21"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PSTGSTUS (Posting Status) in IV10000:</w:t>
      </w:r>
      <w:r>
        <w:rPr>
          <w:rFonts w:ascii="Arial" w:hAnsi="Arial" w:cs="Arial"/>
          <w:color w:val="333333"/>
          <w:sz w:val="21"/>
          <w:szCs w:val="21"/>
        </w:rPr>
        <w:br/>
        <w:t>0 – New Transaction</w:t>
      </w:r>
      <w:r>
        <w:rPr>
          <w:rFonts w:ascii="Arial" w:hAnsi="Arial" w:cs="Arial"/>
          <w:color w:val="333333"/>
          <w:sz w:val="21"/>
          <w:szCs w:val="21"/>
        </w:rPr>
        <w:br/>
        <w:t>1 – Unposted</w:t>
      </w:r>
      <w:r>
        <w:rPr>
          <w:rFonts w:ascii="Arial" w:hAnsi="Arial" w:cs="Arial"/>
          <w:color w:val="333333"/>
          <w:sz w:val="21"/>
          <w:szCs w:val="21"/>
        </w:rPr>
        <w:br/>
        <w:t>2 – Posted</w:t>
      </w:r>
      <w:r>
        <w:rPr>
          <w:rFonts w:ascii="Arial" w:hAnsi="Arial" w:cs="Arial"/>
          <w:color w:val="333333"/>
          <w:sz w:val="21"/>
          <w:szCs w:val="21"/>
        </w:rPr>
        <w:br/>
        <w:t>3 – Posted with Error</w:t>
      </w:r>
    </w:p>
    <w:p w14:paraId="777ADD4B"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5F1583B7" w14:textId="77777777" w:rsidR="00457DE2" w:rsidRPr="00457DE2" w:rsidRDefault="00457DE2" w:rsidP="00A51B7F">
      <w:pPr>
        <w:pStyle w:val="NormalWeb"/>
        <w:numPr>
          <w:ilvl w:val="1"/>
          <w:numId w:val="1"/>
        </w:numPr>
        <w:shd w:val="clear" w:color="auto" w:fill="FEFEFE"/>
        <w:spacing w:before="0" w:beforeAutospacing="0" w:after="0" w:afterAutospacing="0"/>
        <w:textAlignment w:val="baseline"/>
        <w:rPr>
          <w:rStyle w:val="Emphasis"/>
          <w:rFonts w:ascii="Arial" w:hAnsi="Arial" w:cs="Arial"/>
          <w:i w:val="0"/>
          <w:iCs w:val="0"/>
          <w:color w:val="333333"/>
          <w:sz w:val="21"/>
          <w:szCs w:val="21"/>
        </w:rPr>
      </w:pPr>
      <w:r>
        <w:rPr>
          <w:rStyle w:val="Strong"/>
          <w:rFonts w:ascii="Arial" w:eastAsiaTheme="majorEastAsia" w:hAnsi="Arial" w:cs="Arial"/>
          <w:color w:val="333333"/>
          <w:sz w:val="21"/>
          <w:szCs w:val="21"/>
          <w:u w:val="single"/>
          <w:bdr w:val="none" w:sz="0" w:space="0" w:color="auto" w:frame="1"/>
        </w:rPr>
        <w:t>Source Indicator in IV10000:</w:t>
      </w:r>
      <w:r>
        <w:rPr>
          <w:rFonts w:ascii="Arial" w:hAnsi="Arial" w:cs="Arial"/>
          <w:color w:val="333333"/>
          <w:sz w:val="21"/>
          <w:szCs w:val="21"/>
        </w:rPr>
        <w:br/>
        <w:t>1 – (none)</w:t>
      </w:r>
      <w:r>
        <w:rPr>
          <w:rFonts w:ascii="Arial" w:hAnsi="Arial" w:cs="Arial"/>
          <w:color w:val="333333"/>
          <w:sz w:val="21"/>
          <w:szCs w:val="21"/>
        </w:rPr>
        <w:br/>
        <w:t>2 – Issue</w:t>
      </w:r>
      <w:r>
        <w:rPr>
          <w:rFonts w:ascii="Arial" w:hAnsi="Arial" w:cs="Arial"/>
          <w:color w:val="333333"/>
          <w:sz w:val="21"/>
          <w:szCs w:val="21"/>
        </w:rPr>
        <w:br/>
        <w:t>3 – Reverse Issue</w:t>
      </w:r>
      <w:r>
        <w:rPr>
          <w:rFonts w:ascii="Arial" w:hAnsi="Arial" w:cs="Arial"/>
          <w:color w:val="333333"/>
          <w:sz w:val="21"/>
          <w:szCs w:val="21"/>
        </w:rPr>
        <w:br/>
        <w:t>4 – Finished Good Post</w:t>
      </w:r>
      <w:r>
        <w:rPr>
          <w:rFonts w:ascii="Arial" w:hAnsi="Arial" w:cs="Arial"/>
          <w:color w:val="333333"/>
          <w:sz w:val="21"/>
          <w:szCs w:val="21"/>
        </w:rPr>
        <w:br/>
        <w:t>5 – Reverse Finished Good Post</w:t>
      </w:r>
      <w:r>
        <w:rPr>
          <w:rFonts w:ascii="Arial" w:hAnsi="Arial" w:cs="Arial"/>
          <w:color w:val="333333"/>
          <w:sz w:val="21"/>
          <w:szCs w:val="21"/>
        </w:rPr>
        <w:br/>
        <w:t>6 – Stock Count</w:t>
      </w:r>
      <w:r>
        <w:rPr>
          <w:rFonts w:ascii="Arial" w:hAnsi="Arial" w:cs="Arial"/>
          <w:color w:val="333333"/>
          <w:sz w:val="21"/>
          <w:szCs w:val="21"/>
        </w:rPr>
        <w:br/>
        <w:t>7 – Field Service – Service Call</w:t>
      </w:r>
      <w:r>
        <w:rPr>
          <w:rFonts w:ascii="Arial" w:hAnsi="Arial" w:cs="Arial"/>
          <w:color w:val="333333"/>
          <w:sz w:val="21"/>
          <w:szCs w:val="21"/>
        </w:rPr>
        <w:br/>
        <w:t>8 – Field Service – Return Material Authorization</w:t>
      </w:r>
      <w:r>
        <w:rPr>
          <w:rFonts w:ascii="Arial" w:hAnsi="Arial" w:cs="Arial"/>
          <w:color w:val="333333"/>
          <w:sz w:val="21"/>
          <w:szCs w:val="21"/>
        </w:rPr>
        <w:br/>
        <w:t>9 – Field Service – Return to Vendor</w:t>
      </w:r>
      <w:r>
        <w:rPr>
          <w:rFonts w:ascii="Arial" w:hAnsi="Arial" w:cs="Arial"/>
          <w:color w:val="333333"/>
          <w:sz w:val="21"/>
          <w:szCs w:val="21"/>
        </w:rPr>
        <w:br/>
        <w:t>10 – Field Service – Work Order</w:t>
      </w:r>
      <w:r>
        <w:rPr>
          <w:rFonts w:ascii="Arial" w:hAnsi="Arial" w:cs="Arial"/>
          <w:color w:val="333333"/>
          <w:sz w:val="21"/>
          <w:szCs w:val="21"/>
        </w:rPr>
        <w:br/>
        <w:t>11 – Project Accounting</w:t>
      </w:r>
      <w:r>
        <w:rPr>
          <w:rFonts w:ascii="Arial" w:hAnsi="Arial" w:cs="Arial"/>
          <w:color w:val="333333"/>
          <w:sz w:val="21"/>
          <w:szCs w:val="21"/>
        </w:rPr>
        <w:br/>
        <w:t>12 – In-Transit Inventory Transfer</w:t>
      </w:r>
      <w:r>
        <w:rPr>
          <w:rStyle w:val="Emphasis"/>
          <w:rFonts w:ascii="Arial" w:eastAsiaTheme="majorEastAsia" w:hAnsi="Arial" w:cs="Arial"/>
          <w:color w:val="333333"/>
          <w:sz w:val="21"/>
          <w:szCs w:val="21"/>
          <w:bdr w:val="none" w:sz="0" w:space="0" w:color="auto" w:frame="1"/>
        </w:rPr>
        <w:t> (thanks to Trevor for this one)</w:t>
      </w:r>
    </w:p>
    <w:p w14:paraId="6171B89B"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576AF85E"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lastRenderedPageBreak/>
        <w:t>STCKCNTSTTS (Stock Count Status):</w:t>
      </w:r>
      <w:r>
        <w:rPr>
          <w:rFonts w:ascii="Arial" w:hAnsi="Arial" w:cs="Arial"/>
          <w:color w:val="333333"/>
          <w:sz w:val="21"/>
          <w:szCs w:val="21"/>
        </w:rPr>
        <w:br/>
        <w:t>1 – Available</w:t>
      </w:r>
      <w:r>
        <w:rPr>
          <w:rFonts w:ascii="Arial" w:hAnsi="Arial" w:cs="Arial"/>
          <w:color w:val="333333"/>
          <w:sz w:val="21"/>
          <w:szCs w:val="21"/>
        </w:rPr>
        <w:br/>
        <w:t>2 – Started</w:t>
      </w:r>
      <w:r>
        <w:rPr>
          <w:rFonts w:ascii="Arial" w:hAnsi="Arial" w:cs="Arial"/>
          <w:color w:val="333333"/>
          <w:sz w:val="21"/>
          <w:szCs w:val="21"/>
        </w:rPr>
        <w:br/>
        <w:t>3 – Entered</w:t>
      </w:r>
    </w:p>
    <w:p w14:paraId="4D5F61B9"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3DC715C6"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SMRYTYPE (Summary Type):</w:t>
      </w:r>
      <w:r>
        <w:rPr>
          <w:rFonts w:ascii="Arial" w:hAnsi="Arial" w:cs="Arial"/>
          <w:color w:val="333333"/>
          <w:sz w:val="21"/>
          <w:szCs w:val="21"/>
        </w:rPr>
        <w:br/>
        <w:t>1 – Calendar</w:t>
      </w:r>
      <w:r>
        <w:rPr>
          <w:rFonts w:ascii="Arial" w:hAnsi="Arial" w:cs="Arial"/>
          <w:color w:val="333333"/>
          <w:sz w:val="21"/>
          <w:szCs w:val="21"/>
        </w:rPr>
        <w:br/>
        <w:t>2 – Fiscal</w:t>
      </w:r>
    </w:p>
    <w:p w14:paraId="55D11E3F"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199B2ECA"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Account Indexes:</w:t>
      </w:r>
      <w:r>
        <w:rPr>
          <w:rFonts w:ascii="Arial" w:hAnsi="Arial" w:cs="Arial"/>
          <w:color w:val="333333"/>
          <w:sz w:val="21"/>
          <w:szCs w:val="21"/>
        </w:rPr>
        <w:br/>
      </w:r>
      <w:r>
        <w:rPr>
          <w:rStyle w:val="Emphasis"/>
          <w:rFonts w:ascii="Arial" w:eastAsiaTheme="majorEastAsia" w:hAnsi="Arial" w:cs="Arial"/>
          <w:color w:val="333333"/>
          <w:sz w:val="21"/>
          <w:szCs w:val="21"/>
          <w:bdr w:val="none" w:sz="0" w:space="0" w:color="auto" w:frame="1"/>
        </w:rPr>
        <w:t>[Thanks to Ron Wilson for providing these!]</w:t>
      </w:r>
      <w:r>
        <w:rPr>
          <w:rFonts w:ascii="Arial" w:hAnsi="Arial" w:cs="Arial"/>
          <w:color w:val="333333"/>
          <w:sz w:val="21"/>
          <w:szCs w:val="21"/>
        </w:rPr>
        <w:br/>
        <w:t>IVIVINDX – Inventory On Hand</w:t>
      </w:r>
      <w:r>
        <w:rPr>
          <w:rFonts w:ascii="Arial" w:hAnsi="Arial" w:cs="Arial"/>
          <w:color w:val="333333"/>
          <w:sz w:val="21"/>
          <w:szCs w:val="21"/>
        </w:rPr>
        <w:br/>
        <w:t>IVIVOFIX – Inventory Offset</w:t>
      </w:r>
      <w:r>
        <w:rPr>
          <w:rFonts w:ascii="Arial" w:hAnsi="Arial" w:cs="Arial"/>
          <w:color w:val="333333"/>
          <w:sz w:val="21"/>
          <w:szCs w:val="21"/>
        </w:rPr>
        <w:br/>
        <w:t>IVCOGSIX – Cost of Goods Sold</w:t>
      </w:r>
      <w:r>
        <w:rPr>
          <w:rFonts w:ascii="Arial" w:hAnsi="Arial" w:cs="Arial"/>
          <w:color w:val="333333"/>
          <w:sz w:val="21"/>
          <w:szCs w:val="21"/>
        </w:rPr>
        <w:br/>
        <w:t>IVSLSIDX – Sales</w:t>
      </w:r>
      <w:r>
        <w:rPr>
          <w:rFonts w:ascii="Arial" w:hAnsi="Arial" w:cs="Arial"/>
          <w:color w:val="333333"/>
          <w:sz w:val="21"/>
          <w:szCs w:val="21"/>
        </w:rPr>
        <w:br/>
        <w:t>IVSLDSIX – Markdowns</w:t>
      </w:r>
      <w:r>
        <w:rPr>
          <w:rFonts w:ascii="Arial" w:hAnsi="Arial" w:cs="Arial"/>
          <w:color w:val="333333"/>
          <w:sz w:val="21"/>
          <w:szCs w:val="21"/>
        </w:rPr>
        <w:br/>
        <w:t>IVSLRNIX – Sales Returns</w:t>
      </w:r>
      <w:r>
        <w:rPr>
          <w:rFonts w:ascii="Arial" w:hAnsi="Arial" w:cs="Arial"/>
          <w:color w:val="333333"/>
          <w:sz w:val="21"/>
          <w:szCs w:val="21"/>
        </w:rPr>
        <w:br/>
        <w:t>IVINUSIX – In Use</w:t>
      </w:r>
      <w:r>
        <w:rPr>
          <w:rFonts w:ascii="Arial" w:hAnsi="Arial" w:cs="Arial"/>
          <w:color w:val="333333"/>
          <w:sz w:val="21"/>
          <w:szCs w:val="21"/>
        </w:rPr>
        <w:br/>
        <w:t>IVINSVIX – In Service</w:t>
      </w:r>
      <w:r>
        <w:rPr>
          <w:rFonts w:ascii="Arial" w:hAnsi="Arial" w:cs="Arial"/>
          <w:color w:val="333333"/>
          <w:sz w:val="21"/>
          <w:szCs w:val="21"/>
        </w:rPr>
        <w:br/>
        <w:t>IVDMGIDX – Damaged</w:t>
      </w:r>
      <w:r>
        <w:rPr>
          <w:rFonts w:ascii="Arial" w:hAnsi="Arial" w:cs="Arial"/>
          <w:color w:val="333333"/>
          <w:sz w:val="21"/>
          <w:szCs w:val="21"/>
        </w:rPr>
        <w:br/>
        <w:t>IVVARIDX – Variance</w:t>
      </w:r>
      <w:r>
        <w:rPr>
          <w:rFonts w:ascii="Arial" w:hAnsi="Arial" w:cs="Arial"/>
          <w:color w:val="333333"/>
          <w:sz w:val="21"/>
          <w:szCs w:val="21"/>
        </w:rPr>
        <w:br/>
        <w:t>DPSHPIDX – Drop Ship Items</w:t>
      </w:r>
      <w:r>
        <w:rPr>
          <w:rFonts w:ascii="Arial" w:hAnsi="Arial" w:cs="Arial"/>
          <w:color w:val="333333"/>
          <w:sz w:val="21"/>
          <w:szCs w:val="21"/>
        </w:rPr>
        <w:br/>
        <w:t>PURPVIDX – Purchase Price Variance</w:t>
      </w:r>
      <w:r>
        <w:rPr>
          <w:rFonts w:ascii="Arial" w:hAnsi="Arial" w:cs="Arial"/>
          <w:color w:val="333333"/>
          <w:sz w:val="21"/>
          <w:szCs w:val="21"/>
        </w:rPr>
        <w:br/>
        <w:t>UPPVIDX – Unrealized Purchase Price Var</w:t>
      </w:r>
      <w:r>
        <w:rPr>
          <w:rFonts w:ascii="Arial" w:hAnsi="Arial" w:cs="Arial"/>
          <w:color w:val="333333"/>
          <w:sz w:val="21"/>
          <w:szCs w:val="21"/>
        </w:rPr>
        <w:br/>
        <w:t>IVRETIDX – Inventory Returns</w:t>
      </w:r>
      <w:r>
        <w:rPr>
          <w:rFonts w:ascii="Arial" w:hAnsi="Arial" w:cs="Arial"/>
          <w:color w:val="333333"/>
          <w:sz w:val="21"/>
          <w:szCs w:val="21"/>
        </w:rPr>
        <w:br/>
        <w:t>ASMVRIDX – Assembly Variance</w:t>
      </w:r>
    </w:p>
    <w:p w14:paraId="01D797A2"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50F81AA9" w14:textId="1284B076"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PCHSRCTY from IV10200</w:t>
      </w:r>
      <w:r>
        <w:rPr>
          <w:rFonts w:ascii="Arial" w:hAnsi="Arial" w:cs="Arial"/>
          <w:color w:val="333333"/>
          <w:sz w:val="21"/>
          <w:szCs w:val="21"/>
        </w:rPr>
        <w:br/>
      </w:r>
      <w:r>
        <w:rPr>
          <w:rStyle w:val="Emphasis"/>
          <w:rFonts w:ascii="Arial" w:eastAsiaTheme="majorEastAsia" w:hAnsi="Arial" w:cs="Arial"/>
          <w:color w:val="333333"/>
          <w:sz w:val="21"/>
          <w:szCs w:val="21"/>
          <w:bdr w:val="none" w:sz="0" w:space="0" w:color="auto" w:frame="1"/>
        </w:rPr>
        <w:t>[Thanks to Stephan Desmoulin for providing these!]</w:t>
      </w:r>
      <w:r>
        <w:rPr>
          <w:rFonts w:ascii="Arial" w:hAnsi="Arial" w:cs="Arial"/>
          <w:color w:val="333333"/>
          <w:sz w:val="21"/>
          <w:szCs w:val="21"/>
        </w:rPr>
        <w:br/>
        <w:t>1 – Adjustment</w:t>
      </w:r>
      <w:r>
        <w:rPr>
          <w:rFonts w:ascii="Arial" w:hAnsi="Arial" w:cs="Arial"/>
          <w:color w:val="333333"/>
          <w:sz w:val="21"/>
          <w:szCs w:val="21"/>
        </w:rPr>
        <w:br/>
        <w:t>2 – Variance</w:t>
      </w:r>
      <w:r>
        <w:rPr>
          <w:rFonts w:ascii="Arial" w:hAnsi="Arial" w:cs="Arial"/>
          <w:color w:val="333333"/>
          <w:sz w:val="21"/>
          <w:szCs w:val="21"/>
        </w:rPr>
        <w:br/>
        <w:t>3 – Transfer</w:t>
      </w:r>
      <w:r>
        <w:rPr>
          <w:rFonts w:ascii="Arial" w:hAnsi="Arial" w:cs="Arial"/>
          <w:color w:val="333333"/>
          <w:sz w:val="21"/>
          <w:szCs w:val="21"/>
        </w:rPr>
        <w:br/>
        <w:t>4 – Override</w:t>
      </w:r>
      <w:r>
        <w:rPr>
          <w:rFonts w:ascii="Arial" w:hAnsi="Arial" w:cs="Arial"/>
          <w:color w:val="333333"/>
          <w:sz w:val="21"/>
          <w:szCs w:val="21"/>
        </w:rPr>
        <w:br/>
        <w:t>5 – Receipt</w:t>
      </w:r>
      <w:r>
        <w:rPr>
          <w:rFonts w:ascii="Arial" w:hAnsi="Arial" w:cs="Arial"/>
          <w:color w:val="333333"/>
          <w:sz w:val="21"/>
          <w:szCs w:val="21"/>
        </w:rPr>
        <w:br/>
        <w:t>6 – Return</w:t>
      </w:r>
      <w:r>
        <w:rPr>
          <w:rFonts w:ascii="Arial" w:hAnsi="Arial" w:cs="Arial"/>
          <w:color w:val="333333"/>
          <w:sz w:val="21"/>
          <w:szCs w:val="21"/>
        </w:rPr>
        <w:br/>
        <w:t>7 – Assembly</w:t>
      </w:r>
      <w:r>
        <w:rPr>
          <w:rFonts w:ascii="Arial" w:hAnsi="Arial" w:cs="Arial"/>
          <w:color w:val="333333"/>
          <w:sz w:val="21"/>
          <w:szCs w:val="21"/>
        </w:rPr>
        <w:br/>
        <w:t>8 – In-Transit</w:t>
      </w:r>
    </w:p>
    <w:p w14:paraId="64B566E8"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7CF2235E"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75185CC8"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676A42EA"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7C174363"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2E2756F0"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2A3947D9"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1EC02B41"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64A325BA"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18D4ACA4"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5A874ECD"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766CA653" w14:textId="77777777" w:rsidR="00A51B7F" w:rsidRDefault="00A51B7F"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44842A03" w14:textId="77777777" w:rsidR="00A51B7F" w:rsidRDefault="00A51B7F"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1C9E3770" w14:textId="77777777" w:rsidR="00A51B7F" w:rsidRDefault="00A51B7F"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203C6AC4"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19501802" w14:textId="77777777" w:rsidR="00A51B7F" w:rsidRPr="00457DE2" w:rsidRDefault="00A51B7F"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3FEE9913" w14:textId="489979A8" w:rsidR="00457DE2" w:rsidRPr="00A51B7F" w:rsidRDefault="00457DE2" w:rsidP="00A51B7F">
      <w:pPr>
        <w:pStyle w:val="ListParagraph"/>
        <w:numPr>
          <w:ilvl w:val="0"/>
          <w:numId w:val="1"/>
        </w:numPr>
        <w:spacing w:after="0"/>
        <w:rPr>
          <w:rStyle w:val="Emphasis"/>
          <w:rFonts w:cs="Arial"/>
          <w:b/>
          <w:bCs/>
          <w:color w:val="993300"/>
          <w:sz w:val="28"/>
          <w:szCs w:val="28"/>
          <w:bdr w:val="none" w:sz="0" w:space="0" w:color="auto" w:frame="1"/>
        </w:rPr>
      </w:pPr>
      <w:r w:rsidRPr="00A51B7F">
        <w:rPr>
          <w:b/>
          <w:bCs/>
          <w:sz w:val="28"/>
          <w:szCs w:val="28"/>
        </w:rPr>
        <w:lastRenderedPageBreak/>
        <w:t xml:space="preserve">SOP Tables - </w:t>
      </w:r>
      <w:r w:rsidRPr="00457DE2">
        <w:rPr>
          <w:rStyle w:val="Emphasis"/>
          <w:rFonts w:cs="Arial"/>
          <w:b/>
          <w:bCs/>
          <w:color w:val="993300"/>
          <w:sz w:val="28"/>
          <w:szCs w:val="28"/>
          <w:bdr w:val="none" w:sz="0" w:space="0" w:color="auto" w:frame="1"/>
        </w:rPr>
        <w:t>Last Updated: November 06, 2016</w:t>
      </w:r>
      <w:r w:rsidRPr="00A51B7F">
        <w:rPr>
          <w:rStyle w:val="Emphasis"/>
          <w:rFonts w:cs="Arial"/>
          <w:b/>
          <w:bCs/>
          <w:color w:val="993300"/>
          <w:sz w:val="28"/>
          <w:szCs w:val="28"/>
          <w:bdr w:val="none" w:sz="0" w:space="0" w:color="auto" w:frame="1"/>
        </w:rPr>
        <w:t xml:space="preserve"> (Website)</w:t>
      </w:r>
    </w:p>
    <w:p w14:paraId="4312BC01" w14:textId="7AD37707" w:rsidR="00457DE2" w:rsidRPr="00457DE2" w:rsidRDefault="00457DE2" w:rsidP="00A51B7F">
      <w:pPr>
        <w:pStyle w:val="ListParagraph"/>
        <w:shd w:val="clear" w:color="auto" w:fill="FEFEFE"/>
        <w:spacing w:after="0" w:line="240" w:lineRule="auto"/>
        <w:ind w:left="1440"/>
        <w:textAlignment w:val="baseline"/>
        <w:outlineLvl w:val="2"/>
        <w:rPr>
          <w:rStyle w:val="Emphasis"/>
          <w:rFonts w:ascii="Arial" w:eastAsia="Times New Roman" w:hAnsi="Arial" w:cs="Arial"/>
          <w:b/>
          <w:bCs/>
          <w:i w:val="0"/>
          <w:iCs w:val="0"/>
          <w:color w:val="000000"/>
          <w:kern w:val="0"/>
          <w:u w:val="single"/>
          <w14:ligatures w14:val="none"/>
        </w:rPr>
      </w:pPr>
      <w:r w:rsidRPr="00457DE2">
        <w:rPr>
          <w:rFonts w:ascii="Arial" w:eastAsia="Times New Roman" w:hAnsi="Arial" w:cs="Arial"/>
          <w:b/>
          <w:bCs/>
          <w:color w:val="000000"/>
          <w:kern w:val="0"/>
          <w:u w:val="single"/>
          <w14:ligatures w14:val="none"/>
        </w:rPr>
        <w:t>Commonly Used Tables:</w:t>
      </w:r>
    </w:p>
    <w:p w14:paraId="21EEF65C" w14:textId="77777777" w:rsidR="00457DE2" w:rsidRPr="00457DE2" w:rsidRDefault="00457DE2" w:rsidP="00A51B7F">
      <w:pPr>
        <w:pStyle w:val="ListParagraph"/>
        <w:numPr>
          <w:ilvl w:val="1"/>
          <w:numId w:val="1"/>
        </w:numPr>
        <w:spacing w:after="0"/>
        <w:rPr>
          <w:b/>
          <w:bCs/>
        </w:rPr>
      </w:pPr>
      <w:r w:rsidRPr="00457DE2">
        <w:rPr>
          <w:b/>
          <w:bCs/>
        </w:rPr>
        <w:t>SOP10100 – Unposted/Work Transactions (</w:t>
      </w:r>
      <w:proofErr w:type="gramStart"/>
      <w:r w:rsidRPr="00457DE2">
        <w:rPr>
          <w:b/>
          <w:bCs/>
        </w:rPr>
        <w:t>header)  </w:t>
      </w:r>
      <w:r w:rsidRPr="00457DE2">
        <w:rPr>
          <w:b/>
          <w:bCs/>
          <w:i/>
          <w:iCs/>
        </w:rPr>
        <w:t>–</w:t>
      </w:r>
      <w:proofErr w:type="gramEnd"/>
      <w:r w:rsidRPr="00457DE2">
        <w:rPr>
          <w:b/>
          <w:bCs/>
          <w:i/>
          <w:iCs/>
        </w:rPr>
        <w:t xml:space="preserve"> one record per unposted sales transaction</w:t>
      </w:r>
    </w:p>
    <w:p w14:paraId="676DE0BD" w14:textId="77777777" w:rsidR="00457DE2" w:rsidRPr="00457DE2" w:rsidRDefault="00457DE2" w:rsidP="00A51B7F">
      <w:pPr>
        <w:pStyle w:val="ListParagraph"/>
        <w:numPr>
          <w:ilvl w:val="1"/>
          <w:numId w:val="1"/>
        </w:numPr>
        <w:spacing w:after="0"/>
        <w:rPr>
          <w:b/>
          <w:bCs/>
        </w:rPr>
      </w:pPr>
      <w:r w:rsidRPr="00457DE2">
        <w:rPr>
          <w:b/>
          <w:bCs/>
        </w:rPr>
        <w:t xml:space="preserve">SOP10200 – Unposted/Work Transactions (line </w:t>
      </w:r>
      <w:proofErr w:type="gramStart"/>
      <w:r w:rsidRPr="00457DE2">
        <w:rPr>
          <w:b/>
          <w:bCs/>
        </w:rPr>
        <w:t>detail)  </w:t>
      </w:r>
      <w:r w:rsidRPr="00457DE2">
        <w:rPr>
          <w:b/>
          <w:bCs/>
          <w:i/>
          <w:iCs/>
        </w:rPr>
        <w:t>–</w:t>
      </w:r>
      <w:proofErr w:type="gramEnd"/>
      <w:r w:rsidRPr="00457DE2">
        <w:rPr>
          <w:b/>
          <w:bCs/>
          <w:i/>
          <w:iCs/>
        </w:rPr>
        <w:t xml:space="preserve"> one record per line item on unposted sales transactions (for kits, there will be one record per kit component)</w:t>
      </w:r>
    </w:p>
    <w:p w14:paraId="7D53B123" w14:textId="77777777" w:rsidR="00457DE2" w:rsidRPr="00457DE2" w:rsidRDefault="00457DE2" w:rsidP="00A51B7F">
      <w:pPr>
        <w:pStyle w:val="ListParagraph"/>
        <w:numPr>
          <w:ilvl w:val="1"/>
          <w:numId w:val="1"/>
        </w:numPr>
        <w:spacing w:after="0"/>
        <w:rPr>
          <w:b/>
          <w:bCs/>
        </w:rPr>
      </w:pPr>
      <w:r w:rsidRPr="00457DE2">
        <w:rPr>
          <w:b/>
          <w:bCs/>
        </w:rPr>
        <w:t>SOP10101 – Commissions Work and History</w:t>
      </w:r>
    </w:p>
    <w:p w14:paraId="0EBF7CEF" w14:textId="77777777" w:rsidR="00457DE2" w:rsidRPr="00457DE2" w:rsidRDefault="00457DE2" w:rsidP="00A51B7F">
      <w:pPr>
        <w:pStyle w:val="ListParagraph"/>
        <w:numPr>
          <w:ilvl w:val="1"/>
          <w:numId w:val="1"/>
        </w:numPr>
        <w:spacing w:after="0"/>
        <w:rPr>
          <w:b/>
          <w:bCs/>
        </w:rPr>
      </w:pPr>
      <w:r w:rsidRPr="00457DE2">
        <w:rPr>
          <w:b/>
          <w:bCs/>
        </w:rPr>
        <w:t xml:space="preserve">SOP10102 – GL Distributions Work and </w:t>
      </w:r>
      <w:proofErr w:type="gramStart"/>
      <w:r w:rsidRPr="00457DE2">
        <w:rPr>
          <w:b/>
          <w:bCs/>
        </w:rPr>
        <w:t>History  </w:t>
      </w:r>
      <w:r w:rsidRPr="00457DE2">
        <w:rPr>
          <w:b/>
          <w:bCs/>
          <w:i/>
          <w:iCs/>
        </w:rPr>
        <w:t>–</w:t>
      </w:r>
      <w:proofErr w:type="gramEnd"/>
      <w:r w:rsidRPr="00457DE2">
        <w:rPr>
          <w:b/>
          <w:bCs/>
          <w:i/>
          <w:iCs/>
        </w:rPr>
        <w:t xml:space="preserve"> GL distributions for posted and unposted Invoices, Returns and Fulfillment Orders</w:t>
      </w:r>
    </w:p>
    <w:p w14:paraId="6328A1FB" w14:textId="77777777" w:rsidR="00457DE2" w:rsidRPr="00457DE2" w:rsidRDefault="00457DE2" w:rsidP="00A51B7F">
      <w:pPr>
        <w:pStyle w:val="ListParagraph"/>
        <w:numPr>
          <w:ilvl w:val="1"/>
          <w:numId w:val="1"/>
        </w:numPr>
        <w:spacing w:after="0"/>
        <w:rPr>
          <w:b/>
          <w:bCs/>
        </w:rPr>
      </w:pPr>
      <w:r w:rsidRPr="00457DE2">
        <w:rPr>
          <w:b/>
          <w:bCs/>
        </w:rPr>
        <w:t xml:space="preserve">SOP10103 – Payment Work and </w:t>
      </w:r>
      <w:proofErr w:type="gramStart"/>
      <w:r w:rsidRPr="00457DE2">
        <w:rPr>
          <w:b/>
          <w:bCs/>
        </w:rPr>
        <w:t>History  </w:t>
      </w:r>
      <w:r w:rsidRPr="00457DE2">
        <w:rPr>
          <w:b/>
          <w:bCs/>
          <w:i/>
          <w:iCs/>
        </w:rPr>
        <w:t>–</w:t>
      </w:r>
      <w:proofErr w:type="gramEnd"/>
      <w:r w:rsidRPr="00457DE2">
        <w:rPr>
          <w:b/>
          <w:bCs/>
          <w:i/>
          <w:iCs/>
        </w:rPr>
        <w:t xml:space="preserve"> one record per payment entered on sales transaction</w:t>
      </w:r>
    </w:p>
    <w:p w14:paraId="28DB0D20" w14:textId="77777777" w:rsidR="00457DE2" w:rsidRPr="00457DE2" w:rsidRDefault="00457DE2" w:rsidP="00A51B7F">
      <w:pPr>
        <w:pStyle w:val="ListParagraph"/>
        <w:numPr>
          <w:ilvl w:val="1"/>
          <w:numId w:val="1"/>
        </w:numPr>
        <w:spacing w:after="0"/>
        <w:rPr>
          <w:b/>
          <w:bCs/>
        </w:rPr>
      </w:pPr>
      <w:r w:rsidRPr="00457DE2">
        <w:rPr>
          <w:b/>
          <w:bCs/>
        </w:rPr>
        <w:t>SOP10104 – Process Holds Work and History</w:t>
      </w:r>
    </w:p>
    <w:p w14:paraId="76935086" w14:textId="77777777" w:rsidR="00457DE2" w:rsidRPr="00457DE2" w:rsidRDefault="00457DE2" w:rsidP="00A51B7F">
      <w:pPr>
        <w:pStyle w:val="ListParagraph"/>
        <w:numPr>
          <w:ilvl w:val="1"/>
          <w:numId w:val="1"/>
        </w:numPr>
        <w:spacing w:after="0"/>
        <w:rPr>
          <w:b/>
          <w:bCs/>
        </w:rPr>
      </w:pPr>
      <w:r w:rsidRPr="00457DE2">
        <w:rPr>
          <w:b/>
          <w:bCs/>
        </w:rPr>
        <w:t>SOP10105 – Sales Taxes Work and History</w:t>
      </w:r>
    </w:p>
    <w:p w14:paraId="0C8524F6" w14:textId="77777777" w:rsidR="00457DE2" w:rsidRPr="00457DE2" w:rsidRDefault="00457DE2" w:rsidP="00A51B7F">
      <w:pPr>
        <w:pStyle w:val="ListParagraph"/>
        <w:numPr>
          <w:ilvl w:val="1"/>
          <w:numId w:val="1"/>
        </w:numPr>
        <w:spacing w:after="0"/>
        <w:rPr>
          <w:b/>
          <w:bCs/>
        </w:rPr>
      </w:pPr>
      <w:r w:rsidRPr="00457DE2">
        <w:rPr>
          <w:b/>
          <w:bCs/>
        </w:rPr>
        <w:t xml:space="preserve">SOP10106 – User Defined Work and </w:t>
      </w:r>
      <w:proofErr w:type="gramStart"/>
      <w:r w:rsidRPr="00457DE2">
        <w:rPr>
          <w:b/>
          <w:bCs/>
        </w:rPr>
        <w:t>History  </w:t>
      </w:r>
      <w:r w:rsidRPr="00457DE2">
        <w:rPr>
          <w:b/>
          <w:bCs/>
          <w:i/>
          <w:iCs/>
        </w:rPr>
        <w:t>–</w:t>
      </w:r>
      <w:proofErr w:type="gramEnd"/>
      <w:r w:rsidRPr="00457DE2">
        <w:rPr>
          <w:b/>
          <w:bCs/>
          <w:i/>
          <w:iCs/>
        </w:rPr>
        <w:t xml:space="preserve"> this table will also have the transaction level comment</w:t>
      </w:r>
    </w:p>
    <w:p w14:paraId="6AE7A3A4" w14:textId="77777777" w:rsidR="00457DE2" w:rsidRPr="00457DE2" w:rsidRDefault="00457DE2" w:rsidP="00A51B7F">
      <w:pPr>
        <w:pStyle w:val="ListParagraph"/>
        <w:numPr>
          <w:ilvl w:val="1"/>
          <w:numId w:val="1"/>
        </w:numPr>
        <w:spacing w:after="0"/>
        <w:rPr>
          <w:b/>
          <w:bCs/>
        </w:rPr>
      </w:pPr>
      <w:r w:rsidRPr="00457DE2">
        <w:rPr>
          <w:b/>
          <w:bCs/>
        </w:rPr>
        <w:t>SOP10107 – Tracking Numbers Work and History</w:t>
      </w:r>
    </w:p>
    <w:p w14:paraId="537DC635" w14:textId="77777777" w:rsidR="00457DE2" w:rsidRPr="00457DE2" w:rsidRDefault="00457DE2" w:rsidP="00A51B7F">
      <w:pPr>
        <w:pStyle w:val="ListParagraph"/>
        <w:numPr>
          <w:ilvl w:val="1"/>
          <w:numId w:val="1"/>
        </w:numPr>
        <w:spacing w:after="0"/>
        <w:rPr>
          <w:b/>
          <w:bCs/>
        </w:rPr>
      </w:pPr>
      <w:r w:rsidRPr="00457DE2">
        <w:rPr>
          <w:b/>
          <w:bCs/>
        </w:rPr>
        <w:t>SOP10201 – Serial/Lot Work and History</w:t>
      </w:r>
    </w:p>
    <w:p w14:paraId="1B29D45F" w14:textId="77777777" w:rsidR="00457DE2" w:rsidRPr="00457DE2" w:rsidRDefault="00457DE2" w:rsidP="00A51B7F">
      <w:pPr>
        <w:pStyle w:val="ListParagraph"/>
        <w:numPr>
          <w:ilvl w:val="1"/>
          <w:numId w:val="1"/>
        </w:numPr>
        <w:spacing w:after="0"/>
        <w:rPr>
          <w:b/>
          <w:bCs/>
        </w:rPr>
      </w:pPr>
      <w:r w:rsidRPr="00457DE2">
        <w:rPr>
          <w:b/>
          <w:bCs/>
        </w:rPr>
        <w:t>SOP10202 – Line Comment Work and History</w:t>
      </w:r>
    </w:p>
    <w:p w14:paraId="2EC4F051" w14:textId="77777777" w:rsidR="00457DE2" w:rsidRPr="00457DE2" w:rsidRDefault="00457DE2" w:rsidP="00A51B7F">
      <w:pPr>
        <w:pStyle w:val="ListParagraph"/>
        <w:numPr>
          <w:ilvl w:val="1"/>
          <w:numId w:val="1"/>
        </w:numPr>
        <w:spacing w:after="0"/>
        <w:rPr>
          <w:b/>
          <w:bCs/>
        </w:rPr>
      </w:pPr>
      <w:r w:rsidRPr="00457DE2">
        <w:rPr>
          <w:b/>
          <w:bCs/>
        </w:rPr>
        <w:t>SOP30200 – Historical Transactions (</w:t>
      </w:r>
      <w:proofErr w:type="gramStart"/>
      <w:r w:rsidRPr="00457DE2">
        <w:rPr>
          <w:b/>
          <w:bCs/>
        </w:rPr>
        <w:t>header)  </w:t>
      </w:r>
      <w:r w:rsidRPr="00457DE2">
        <w:rPr>
          <w:b/>
          <w:bCs/>
          <w:i/>
          <w:iCs/>
        </w:rPr>
        <w:t>–</w:t>
      </w:r>
      <w:proofErr w:type="gramEnd"/>
      <w:r w:rsidRPr="00457DE2">
        <w:rPr>
          <w:b/>
          <w:bCs/>
          <w:i/>
          <w:iCs/>
        </w:rPr>
        <w:t xml:space="preserve"> one record per posted sales transaction</w:t>
      </w:r>
    </w:p>
    <w:p w14:paraId="544428EB" w14:textId="77777777" w:rsidR="00457DE2" w:rsidRPr="00457DE2" w:rsidRDefault="00457DE2" w:rsidP="00A51B7F">
      <w:pPr>
        <w:pStyle w:val="ListParagraph"/>
        <w:numPr>
          <w:ilvl w:val="1"/>
          <w:numId w:val="1"/>
        </w:numPr>
        <w:spacing w:after="0"/>
        <w:rPr>
          <w:b/>
          <w:bCs/>
        </w:rPr>
      </w:pPr>
      <w:r w:rsidRPr="00457DE2">
        <w:rPr>
          <w:b/>
          <w:bCs/>
        </w:rPr>
        <w:t xml:space="preserve">SOP30300 – Historical Transactions (line </w:t>
      </w:r>
      <w:proofErr w:type="gramStart"/>
      <w:r w:rsidRPr="00457DE2">
        <w:rPr>
          <w:b/>
          <w:bCs/>
        </w:rPr>
        <w:t>detail)  </w:t>
      </w:r>
      <w:r w:rsidRPr="00457DE2">
        <w:rPr>
          <w:b/>
          <w:bCs/>
          <w:i/>
          <w:iCs/>
        </w:rPr>
        <w:t>–</w:t>
      </w:r>
      <w:proofErr w:type="gramEnd"/>
      <w:r w:rsidRPr="00457DE2">
        <w:rPr>
          <w:b/>
          <w:bCs/>
          <w:i/>
          <w:iCs/>
        </w:rPr>
        <w:t xml:space="preserve"> one record per line item on posted sales transactions (for kits, there will be one record per kit component)</w:t>
      </w:r>
    </w:p>
    <w:p w14:paraId="55E2A2E0" w14:textId="77777777" w:rsidR="00457DE2" w:rsidRPr="00457DE2" w:rsidRDefault="00457DE2" w:rsidP="00A51B7F">
      <w:pPr>
        <w:pStyle w:val="ListParagraph"/>
        <w:numPr>
          <w:ilvl w:val="1"/>
          <w:numId w:val="1"/>
        </w:numPr>
        <w:spacing w:after="0"/>
        <w:rPr>
          <w:b/>
          <w:bCs/>
        </w:rPr>
      </w:pPr>
      <w:r w:rsidRPr="00457DE2">
        <w:rPr>
          <w:b/>
          <w:bCs/>
        </w:rPr>
        <w:t xml:space="preserve">SOP60100 – SOP-POP </w:t>
      </w:r>
      <w:proofErr w:type="gramStart"/>
      <w:r w:rsidRPr="00457DE2">
        <w:rPr>
          <w:b/>
          <w:bCs/>
        </w:rPr>
        <w:t>Link  </w:t>
      </w:r>
      <w:r w:rsidRPr="00457DE2">
        <w:rPr>
          <w:b/>
          <w:bCs/>
          <w:i/>
          <w:iCs/>
        </w:rPr>
        <w:t>–</w:t>
      </w:r>
      <w:proofErr w:type="gramEnd"/>
      <w:r w:rsidRPr="00457DE2">
        <w:rPr>
          <w:b/>
          <w:bCs/>
          <w:i/>
          <w:iCs/>
        </w:rPr>
        <w:t xml:space="preserve"> one record for each link to a PO line, unique link on: SOPNUMBE, SOPTYPE, LNITMSEQ</w:t>
      </w:r>
    </w:p>
    <w:p w14:paraId="728F4D9A" w14:textId="77777777" w:rsidR="00457DE2" w:rsidRDefault="00457DE2" w:rsidP="00A51B7F">
      <w:pPr>
        <w:pStyle w:val="ListParagraph"/>
        <w:numPr>
          <w:ilvl w:val="1"/>
          <w:numId w:val="1"/>
        </w:numPr>
        <w:spacing w:after="0"/>
        <w:rPr>
          <w:b/>
          <w:bCs/>
        </w:rPr>
      </w:pPr>
      <w:r w:rsidRPr="00457DE2">
        <w:rPr>
          <w:b/>
          <w:bCs/>
        </w:rPr>
        <w:t>SOP60300 – Customer Item Numbers</w:t>
      </w:r>
    </w:p>
    <w:p w14:paraId="2003DA2D" w14:textId="77777777" w:rsidR="00A51B7F" w:rsidRPr="00457DE2" w:rsidRDefault="00A51B7F" w:rsidP="00A51B7F">
      <w:pPr>
        <w:pStyle w:val="ListParagraph"/>
        <w:spacing w:after="0"/>
        <w:ind w:left="1440"/>
        <w:rPr>
          <w:b/>
          <w:bCs/>
        </w:rPr>
      </w:pPr>
    </w:p>
    <w:p w14:paraId="66E39886" w14:textId="42B751EA" w:rsidR="00A51B7F" w:rsidRDefault="00457DE2" w:rsidP="00A51B7F">
      <w:pPr>
        <w:pStyle w:val="ListParagraph"/>
        <w:numPr>
          <w:ilvl w:val="1"/>
          <w:numId w:val="1"/>
        </w:numPr>
        <w:spacing w:after="0"/>
        <w:rPr>
          <w:b/>
          <w:bCs/>
        </w:rPr>
      </w:pPr>
      <w:r w:rsidRPr="00457DE2">
        <w:rPr>
          <w:b/>
          <w:bCs/>
          <w:u w:val="single"/>
        </w:rPr>
        <w:t>SOPTYPE (SOP Document Types):</w:t>
      </w:r>
      <w:r w:rsidRPr="00457DE2">
        <w:rPr>
          <w:b/>
          <w:bCs/>
        </w:rPr>
        <w:br/>
        <w:t>1 – Quote</w:t>
      </w:r>
      <w:r w:rsidRPr="00457DE2">
        <w:rPr>
          <w:b/>
          <w:bCs/>
        </w:rPr>
        <w:br/>
        <w:t>2 – Order</w:t>
      </w:r>
      <w:r w:rsidRPr="00457DE2">
        <w:rPr>
          <w:b/>
          <w:bCs/>
        </w:rPr>
        <w:br/>
        <w:t>3 – Invoice</w:t>
      </w:r>
      <w:r w:rsidRPr="00457DE2">
        <w:rPr>
          <w:b/>
          <w:bCs/>
        </w:rPr>
        <w:br/>
        <w:t>4 – Return</w:t>
      </w:r>
      <w:r w:rsidRPr="00457DE2">
        <w:rPr>
          <w:b/>
          <w:bCs/>
        </w:rPr>
        <w:br/>
        <w:t>5 – Back Order</w:t>
      </w:r>
      <w:r w:rsidRPr="00457DE2">
        <w:rPr>
          <w:b/>
          <w:bCs/>
        </w:rPr>
        <w:br/>
        <w:t>6 – Fulfillment Order</w:t>
      </w:r>
    </w:p>
    <w:p w14:paraId="3D49DEF5" w14:textId="77777777" w:rsidR="00A51B7F" w:rsidRPr="00A51B7F" w:rsidRDefault="00A51B7F" w:rsidP="00A51B7F">
      <w:pPr>
        <w:spacing w:after="0"/>
        <w:rPr>
          <w:b/>
          <w:bCs/>
        </w:rPr>
      </w:pPr>
    </w:p>
    <w:p w14:paraId="0442D3F7" w14:textId="77777777" w:rsidR="00457DE2" w:rsidRDefault="00457DE2" w:rsidP="00A51B7F">
      <w:pPr>
        <w:pStyle w:val="ListParagraph"/>
        <w:numPr>
          <w:ilvl w:val="1"/>
          <w:numId w:val="1"/>
        </w:numPr>
        <w:spacing w:after="0"/>
        <w:rPr>
          <w:b/>
          <w:bCs/>
        </w:rPr>
      </w:pPr>
      <w:r w:rsidRPr="00457DE2">
        <w:rPr>
          <w:b/>
          <w:bCs/>
          <w:u w:val="single"/>
        </w:rPr>
        <w:t>Distribution Types:</w:t>
      </w:r>
      <w:r w:rsidRPr="00457DE2">
        <w:rPr>
          <w:b/>
          <w:bCs/>
        </w:rPr>
        <w:br/>
        <w:t>1 – SALES</w:t>
      </w:r>
      <w:r w:rsidRPr="00457DE2">
        <w:rPr>
          <w:b/>
          <w:bCs/>
        </w:rPr>
        <w:br/>
        <w:t>2 – RECV</w:t>
      </w:r>
      <w:r w:rsidRPr="00457DE2">
        <w:rPr>
          <w:b/>
          <w:bCs/>
        </w:rPr>
        <w:br/>
        <w:t>3 – CASH</w:t>
      </w:r>
      <w:r w:rsidRPr="00457DE2">
        <w:rPr>
          <w:b/>
          <w:bCs/>
        </w:rPr>
        <w:br/>
        <w:t>4 – TAKEN</w:t>
      </w:r>
      <w:r w:rsidRPr="00457DE2">
        <w:rPr>
          <w:b/>
          <w:bCs/>
        </w:rPr>
        <w:br/>
        <w:t>5 – AVAIL</w:t>
      </w:r>
      <w:r w:rsidRPr="00457DE2">
        <w:rPr>
          <w:b/>
          <w:bCs/>
        </w:rPr>
        <w:br/>
        <w:t>6 – TRADE</w:t>
      </w:r>
      <w:r w:rsidRPr="00457DE2">
        <w:rPr>
          <w:b/>
          <w:bCs/>
        </w:rPr>
        <w:br/>
        <w:t>7 – FREIGHT</w:t>
      </w:r>
      <w:r w:rsidRPr="00457DE2">
        <w:rPr>
          <w:b/>
          <w:bCs/>
        </w:rPr>
        <w:br/>
        <w:t>8 – MISC</w:t>
      </w:r>
      <w:r w:rsidRPr="00457DE2">
        <w:rPr>
          <w:b/>
          <w:bCs/>
        </w:rPr>
        <w:br/>
      </w:r>
      <w:r w:rsidRPr="00457DE2">
        <w:rPr>
          <w:b/>
          <w:bCs/>
        </w:rPr>
        <w:lastRenderedPageBreak/>
        <w:t>9 – TAXES</w:t>
      </w:r>
      <w:r w:rsidRPr="00457DE2">
        <w:rPr>
          <w:b/>
          <w:bCs/>
        </w:rPr>
        <w:br/>
        <w:t>10 – MARK</w:t>
      </w:r>
      <w:r w:rsidRPr="00457DE2">
        <w:rPr>
          <w:b/>
          <w:bCs/>
        </w:rPr>
        <w:br/>
        <w:t>11 – COMMEXP</w:t>
      </w:r>
      <w:r w:rsidRPr="00457DE2">
        <w:rPr>
          <w:b/>
          <w:bCs/>
        </w:rPr>
        <w:br/>
        <w:t>12 – COMMPAY</w:t>
      </w:r>
      <w:r w:rsidRPr="00457DE2">
        <w:rPr>
          <w:b/>
          <w:bCs/>
        </w:rPr>
        <w:br/>
        <w:t>13 – OTHER</w:t>
      </w:r>
      <w:r w:rsidRPr="00457DE2">
        <w:rPr>
          <w:b/>
          <w:bCs/>
        </w:rPr>
        <w:br/>
        <w:t>14 – COGS</w:t>
      </w:r>
      <w:r w:rsidRPr="00457DE2">
        <w:rPr>
          <w:b/>
          <w:bCs/>
        </w:rPr>
        <w:br/>
        <w:t>15 – INV</w:t>
      </w:r>
      <w:r w:rsidRPr="00457DE2">
        <w:rPr>
          <w:b/>
          <w:bCs/>
        </w:rPr>
        <w:br/>
        <w:t>16 – RETURN</w:t>
      </w:r>
      <w:r w:rsidRPr="00457DE2">
        <w:rPr>
          <w:b/>
          <w:bCs/>
        </w:rPr>
        <w:br/>
        <w:t>17 – IN USE</w:t>
      </w:r>
      <w:r w:rsidRPr="00457DE2">
        <w:rPr>
          <w:b/>
          <w:bCs/>
        </w:rPr>
        <w:br/>
        <w:t>18 – IN SERVICE</w:t>
      </w:r>
      <w:r w:rsidRPr="00457DE2">
        <w:rPr>
          <w:b/>
          <w:bCs/>
        </w:rPr>
        <w:br/>
        <w:t>19 – DAMAGED</w:t>
      </w:r>
      <w:r w:rsidRPr="00457DE2">
        <w:rPr>
          <w:b/>
          <w:bCs/>
        </w:rPr>
        <w:br/>
        <w:t>20 – UNIT</w:t>
      </w:r>
      <w:r w:rsidRPr="00457DE2">
        <w:rPr>
          <w:b/>
          <w:bCs/>
        </w:rPr>
        <w:br/>
        <w:t>21 – DEPOSITS</w:t>
      </w:r>
      <w:r w:rsidRPr="00457DE2">
        <w:rPr>
          <w:b/>
          <w:bCs/>
        </w:rPr>
        <w:br/>
        <w:t>22 – ROUND</w:t>
      </w:r>
      <w:r w:rsidRPr="00457DE2">
        <w:rPr>
          <w:b/>
          <w:bCs/>
        </w:rPr>
        <w:br/>
        <w:t>23 – REBATE</w:t>
      </w:r>
    </w:p>
    <w:p w14:paraId="2E5BF399" w14:textId="77777777" w:rsidR="00A51B7F" w:rsidRPr="00A51B7F" w:rsidRDefault="00A51B7F" w:rsidP="00A51B7F">
      <w:pPr>
        <w:spacing w:after="0"/>
        <w:rPr>
          <w:b/>
          <w:bCs/>
        </w:rPr>
      </w:pPr>
    </w:p>
    <w:p w14:paraId="12CA6434" w14:textId="77777777" w:rsidR="00457DE2" w:rsidRPr="00A51B7F" w:rsidRDefault="00457DE2" w:rsidP="00A51B7F">
      <w:pPr>
        <w:pStyle w:val="ListParagraph"/>
        <w:numPr>
          <w:ilvl w:val="1"/>
          <w:numId w:val="1"/>
        </w:numPr>
        <w:spacing w:after="0"/>
        <w:rPr>
          <w:b/>
          <w:bCs/>
        </w:rPr>
      </w:pPr>
      <w:r w:rsidRPr="00457DE2">
        <w:rPr>
          <w:b/>
          <w:bCs/>
          <w:u w:val="single"/>
        </w:rPr>
        <w:t>PYMTTYPE (Payment Type) in SOP10103:</w:t>
      </w:r>
      <w:r w:rsidRPr="00457DE2">
        <w:rPr>
          <w:b/>
          <w:bCs/>
        </w:rPr>
        <w:br/>
        <w:t>1 – Cash Deposit</w:t>
      </w:r>
      <w:r w:rsidRPr="00457DE2">
        <w:rPr>
          <w:b/>
          <w:bCs/>
        </w:rPr>
        <w:br/>
        <w:t>2 – Check Deposit</w:t>
      </w:r>
      <w:r w:rsidRPr="00457DE2">
        <w:rPr>
          <w:b/>
          <w:bCs/>
        </w:rPr>
        <w:br/>
        <w:t>3 – Credit Card Deposit</w:t>
      </w:r>
      <w:r w:rsidRPr="00457DE2">
        <w:rPr>
          <w:b/>
          <w:bCs/>
        </w:rPr>
        <w:br/>
        <w:t>4 – Cash Payment</w:t>
      </w:r>
      <w:r w:rsidRPr="00457DE2">
        <w:rPr>
          <w:b/>
          <w:bCs/>
        </w:rPr>
        <w:br/>
        <w:t>5 – Check Payment</w:t>
      </w:r>
      <w:r w:rsidRPr="00457DE2">
        <w:rPr>
          <w:b/>
          <w:bCs/>
        </w:rPr>
        <w:br/>
        <w:t>6 – Credit Card Payment</w:t>
      </w:r>
      <w:r w:rsidRPr="00457DE2">
        <w:rPr>
          <w:b/>
          <w:bCs/>
        </w:rPr>
        <w:br/>
      </w:r>
      <w:r w:rsidRPr="00457DE2">
        <w:rPr>
          <w:b/>
          <w:bCs/>
          <w:i/>
          <w:iCs/>
        </w:rPr>
        <w:t>[Note:  The PYMTTYPE values in the GP SDK are not correct, at least for the recent versions of GP – thank you to Beth Lott for bringing that to my attention.  I have confirmed the values above with GP Support.]</w:t>
      </w:r>
    </w:p>
    <w:p w14:paraId="08ED90E9" w14:textId="77777777" w:rsidR="00A51B7F" w:rsidRPr="00A51B7F" w:rsidRDefault="00A51B7F" w:rsidP="00A51B7F">
      <w:pPr>
        <w:spacing w:after="0"/>
        <w:rPr>
          <w:b/>
          <w:bCs/>
        </w:rPr>
      </w:pPr>
    </w:p>
    <w:p w14:paraId="7972DE94" w14:textId="77777777" w:rsidR="00457DE2" w:rsidRDefault="00457DE2" w:rsidP="00A51B7F">
      <w:pPr>
        <w:pStyle w:val="ListParagraph"/>
        <w:numPr>
          <w:ilvl w:val="1"/>
          <w:numId w:val="1"/>
        </w:numPr>
        <w:spacing w:after="0"/>
        <w:rPr>
          <w:b/>
          <w:bCs/>
        </w:rPr>
      </w:pPr>
      <w:r w:rsidRPr="00457DE2">
        <w:rPr>
          <w:b/>
          <w:bCs/>
          <w:u w:val="single"/>
        </w:rPr>
        <w:t>Decimal Places (for both Quantity and Currency):</w:t>
      </w:r>
      <w:r w:rsidRPr="00457DE2">
        <w:rPr>
          <w:b/>
          <w:bCs/>
        </w:rPr>
        <w:br/>
        <w:t>1 – 0</w:t>
      </w:r>
      <w:r w:rsidRPr="00457DE2">
        <w:rPr>
          <w:b/>
          <w:bCs/>
        </w:rPr>
        <w:br/>
        <w:t>2 – 1</w:t>
      </w:r>
      <w:r w:rsidRPr="00457DE2">
        <w:rPr>
          <w:b/>
          <w:bCs/>
        </w:rPr>
        <w:br/>
        <w:t>3 – 2</w:t>
      </w:r>
      <w:r w:rsidRPr="00457DE2">
        <w:rPr>
          <w:b/>
          <w:bCs/>
        </w:rPr>
        <w:br/>
        <w:t>4 – 3</w:t>
      </w:r>
      <w:r w:rsidRPr="00457DE2">
        <w:rPr>
          <w:b/>
          <w:bCs/>
        </w:rPr>
        <w:br/>
        <w:t>5 – 4</w:t>
      </w:r>
      <w:r w:rsidRPr="00457DE2">
        <w:rPr>
          <w:b/>
          <w:bCs/>
        </w:rPr>
        <w:br/>
        <w:t>6 – 5</w:t>
      </w:r>
    </w:p>
    <w:p w14:paraId="54514524" w14:textId="77777777" w:rsidR="00A51B7F" w:rsidRPr="00A51B7F" w:rsidRDefault="00A51B7F" w:rsidP="00A51B7F">
      <w:pPr>
        <w:spacing w:after="0"/>
        <w:rPr>
          <w:b/>
          <w:bCs/>
        </w:rPr>
      </w:pPr>
    </w:p>
    <w:p w14:paraId="46D1BCBD" w14:textId="77777777" w:rsidR="00457DE2" w:rsidRDefault="00457DE2" w:rsidP="00A51B7F">
      <w:pPr>
        <w:pStyle w:val="ListParagraph"/>
        <w:numPr>
          <w:ilvl w:val="1"/>
          <w:numId w:val="1"/>
        </w:numPr>
        <w:spacing w:after="0"/>
        <w:rPr>
          <w:b/>
          <w:bCs/>
        </w:rPr>
      </w:pPr>
      <w:r w:rsidRPr="00457DE2">
        <w:rPr>
          <w:b/>
          <w:bCs/>
          <w:u w:val="single"/>
        </w:rPr>
        <w:t>Transaction Frequency:</w:t>
      </w:r>
      <w:r w:rsidRPr="00457DE2">
        <w:rPr>
          <w:b/>
          <w:bCs/>
        </w:rPr>
        <w:br/>
        <w:t>1 – Weekly</w:t>
      </w:r>
      <w:r w:rsidRPr="00457DE2">
        <w:rPr>
          <w:b/>
          <w:bCs/>
        </w:rPr>
        <w:br/>
        <w:t>2 – Biweekly</w:t>
      </w:r>
      <w:r w:rsidRPr="00457DE2">
        <w:rPr>
          <w:b/>
          <w:bCs/>
        </w:rPr>
        <w:br/>
        <w:t>3 – Semimonthly</w:t>
      </w:r>
      <w:r w:rsidRPr="00457DE2">
        <w:rPr>
          <w:b/>
          <w:bCs/>
        </w:rPr>
        <w:br/>
        <w:t>4 – Monthly</w:t>
      </w:r>
      <w:r w:rsidRPr="00457DE2">
        <w:rPr>
          <w:b/>
          <w:bCs/>
        </w:rPr>
        <w:br/>
        <w:t>5 – Bimonthly</w:t>
      </w:r>
      <w:r w:rsidRPr="00457DE2">
        <w:rPr>
          <w:b/>
          <w:bCs/>
        </w:rPr>
        <w:br/>
        <w:t>6 – Quarterly</w:t>
      </w:r>
      <w:r w:rsidRPr="00457DE2">
        <w:rPr>
          <w:b/>
          <w:bCs/>
        </w:rPr>
        <w:br/>
        <w:t>7 – Miscellaneous</w:t>
      </w:r>
    </w:p>
    <w:p w14:paraId="55EB8F71" w14:textId="77777777" w:rsidR="00A51B7F" w:rsidRPr="00A51B7F" w:rsidRDefault="00A51B7F" w:rsidP="00A51B7F">
      <w:pPr>
        <w:spacing w:after="0"/>
        <w:rPr>
          <w:b/>
          <w:bCs/>
        </w:rPr>
      </w:pPr>
    </w:p>
    <w:p w14:paraId="77428AEE" w14:textId="77777777" w:rsidR="00457DE2" w:rsidRDefault="00457DE2" w:rsidP="00A51B7F">
      <w:pPr>
        <w:pStyle w:val="ListParagraph"/>
        <w:numPr>
          <w:ilvl w:val="1"/>
          <w:numId w:val="1"/>
        </w:numPr>
        <w:spacing w:after="0"/>
        <w:rPr>
          <w:b/>
          <w:bCs/>
        </w:rPr>
      </w:pPr>
      <w:r w:rsidRPr="00457DE2">
        <w:rPr>
          <w:b/>
          <w:bCs/>
          <w:u w:val="single"/>
        </w:rPr>
        <w:lastRenderedPageBreak/>
        <w:t>PURCHSTAT (Purchasing Status):</w:t>
      </w:r>
      <w:r w:rsidRPr="00457DE2">
        <w:rPr>
          <w:b/>
          <w:bCs/>
        </w:rPr>
        <w:br/>
        <w:t>1 – None (will always be this for Quote, Return and Invoice)</w:t>
      </w:r>
      <w:r w:rsidRPr="00457DE2">
        <w:rPr>
          <w:b/>
          <w:bCs/>
        </w:rPr>
        <w:br/>
        <w:t>2 – Needs Purchase</w:t>
      </w:r>
      <w:r w:rsidRPr="00457DE2">
        <w:rPr>
          <w:b/>
          <w:bCs/>
        </w:rPr>
        <w:br/>
        <w:t>3 – Purchased</w:t>
      </w:r>
      <w:r w:rsidRPr="00457DE2">
        <w:rPr>
          <w:b/>
          <w:bCs/>
        </w:rPr>
        <w:br/>
        <w:t>4 – Partially Received</w:t>
      </w:r>
      <w:r w:rsidRPr="00457DE2">
        <w:rPr>
          <w:b/>
          <w:bCs/>
        </w:rPr>
        <w:br/>
        <w:t>5 – Fully Received</w:t>
      </w:r>
    </w:p>
    <w:p w14:paraId="2C9C0F8B" w14:textId="77777777" w:rsidR="00A51B7F" w:rsidRPr="00A51B7F" w:rsidRDefault="00A51B7F" w:rsidP="00A51B7F">
      <w:pPr>
        <w:spacing w:after="0"/>
        <w:rPr>
          <w:b/>
          <w:bCs/>
        </w:rPr>
      </w:pPr>
    </w:p>
    <w:p w14:paraId="4ED8B85B" w14:textId="77777777" w:rsidR="00457DE2" w:rsidRDefault="00457DE2" w:rsidP="00A51B7F">
      <w:pPr>
        <w:pStyle w:val="ListParagraph"/>
        <w:numPr>
          <w:ilvl w:val="1"/>
          <w:numId w:val="1"/>
        </w:numPr>
        <w:spacing w:after="0"/>
        <w:rPr>
          <w:b/>
          <w:bCs/>
        </w:rPr>
      </w:pPr>
      <w:r w:rsidRPr="00457DE2">
        <w:rPr>
          <w:b/>
          <w:bCs/>
          <w:u w:val="single"/>
        </w:rPr>
        <w:t>QTYTYPE (Quantity Type):</w:t>
      </w:r>
      <w:r w:rsidRPr="00457DE2">
        <w:rPr>
          <w:b/>
          <w:bCs/>
        </w:rPr>
        <w:br/>
        <w:t>1 – On Hand</w:t>
      </w:r>
      <w:r w:rsidRPr="00457DE2">
        <w:rPr>
          <w:b/>
          <w:bCs/>
        </w:rPr>
        <w:br/>
        <w:t>2 – Returned</w:t>
      </w:r>
      <w:r w:rsidRPr="00457DE2">
        <w:rPr>
          <w:b/>
          <w:bCs/>
        </w:rPr>
        <w:br/>
        <w:t>3 – In Use</w:t>
      </w:r>
      <w:r w:rsidRPr="00457DE2">
        <w:rPr>
          <w:b/>
          <w:bCs/>
        </w:rPr>
        <w:br/>
        <w:t>4 – In Service</w:t>
      </w:r>
      <w:r w:rsidRPr="00457DE2">
        <w:rPr>
          <w:b/>
          <w:bCs/>
        </w:rPr>
        <w:br/>
        <w:t>5 – Damaged</w:t>
      </w:r>
    </w:p>
    <w:p w14:paraId="28CA0F63" w14:textId="77777777" w:rsidR="00A51B7F" w:rsidRPr="00A51B7F" w:rsidRDefault="00A51B7F" w:rsidP="00A51B7F">
      <w:pPr>
        <w:spacing w:after="0"/>
        <w:rPr>
          <w:b/>
          <w:bCs/>
        </w:rPr>
      </w:pPr>
    </w:p>
    <w:p w14:paraId="6B256A7A" w14:textId="77777777" w:rsidR="00457DE2" w:rsidRDefault="00457DE2" w:rsidP="00A51B7F">
      <w:pPr>
        <w:pStyle w:val="ListParagraph"/>
        <w:numPr>
          <w:ilvl w:val="1"/>
          <w:numId w:val="1"/>
        </w:numPr>
        <w:spacing w:after="0"/>
        <w:rPr>
          <w:b/>
          <w:bCs/>
        </w:rPr>
      </w:pPr>
      <w:r w:rsidRPr="00457DE2">
        <w:rPr>
          <w:b/>
          <w:bCs/>
          <w:u w:val="single"/>
        </w:rPr>
        <w:t>PROSPECT:</w:t>
      </w:r>
      <w:r w:rsidRPr="00457DE2">
        <w:rPr>
          <w:b/>
          <w:bCs/>
        </w:rPr>
        <w:br/>
        <w:t>0 – Existing Customer</w:t>
      </w:r>
      <w:r w:rsidRPr="00457DE2">
        <w:rPr>
          <w:b/>
          <w:bCs/>
        </w:rPr>
        <w:br/>
        <w:t>1 – Prospect</w:t>
      </w:r>
    </w:p>
    <w:p w14:paraId="07D24324" w14:textId="77777777" w:rsidR="00A51B7F" w:rsidRPr="00A51B7F" w:rsidRDefault="00A51B7F" w:rsidP="00A51B7F">
      <w:pPr>
        <w:spacing w:after="0"/>
        <w:rPr>
          <w:b/>
          <w:bCs/>
        </w:rPr>
      </w:pPr>
    </w:p>
    <w:p w14:paraId="1572A7FC" w14:textId="77777777" w:rsidR="00457DE2" w:rsidRDefault="00457DE2" w:rsidP="00A51B7F">
      <w:pPr>
        <w:pStyle w:val="ListParagraph"/>
        <w:numPr>
          <w:ilvl w:val="1"/>
          <w:numId w:val="1"/>
        </w:numPr>
        <w:spacing w:after="0"/>
        <w:rPr>
          <w:b/>
          <w:bCs/>
        </w:rPr>
      </w:pPr>
      <w:r w:rsidRPr="00457DE2">
        <w:rPr>
          <w:b/>
          <w:bCs/>
          <w:u w:val="single"/>
        </w:rPr>
        <w:t>COMAPPTO (Commission Applied To):</w:t>
      </w:r>
      <w:r w:rsidRPr="00457DE2">
        <w:rPr>
          <w:b/>
          <w:bCs/>
        </w:rPr>
        <w:br/>
        <w:t>0 – Sales</w:t>
      </w:r>
      <w:r w:rsidRPr="00457DE2">
        <w:rPr>
          <w:b/>
          <w:bCs/>
        </w:rPr>
        <w:br/>
        <w:t>1 – Invoice Total</w:t>
      </w:r>
    </w:p>
    <w:p w14:paraId="6F1EB260" w14:textId="77777777" w:rsidR="00A51B7F" w:rsidRPr="00A51B7F" w:rsidRDefault="00A51B7F" w:rsidP="00A51B7F">
      <w:pPr>
        <w:spacing w:after="0"/>
        <w:rPr>
          <w:b/>
          <w:bCs/>
        </w:rPr>
      </w:pPr>
    </w:p>
    <w:p w14:paraId="6AA3241E" w14:textId="77777777" w:rsidR="00457DE2" w:rsidRDefault="00457DE2" w:rsidP="00A51B7F">
      <w:pPr>
        <w:pStyle w:val="ListParagraph"/>
        <w:numPr>
          <w:ilvl w:val="1"/>
          <w:numId w:val="1"/>
        </w:numPr>
        <w:spacing w:after="0"/>
        <w:rPr>
          <w:b/>
          <w:bCs/>
        </w:rPr>
      </w:pPr>
      <w:r w:rsidRPr="00457DE2">
        <w:rPr>
          <w:b/>
          <w:bCs/>
          <w:u w:val="single"/>
        </w:rPr>
        <w:t>VOIDSTTS (Void Status):</w:t>
      </w:r>
      <w:r w:rsidRPr="00457DE2">
        <w:rPr>
          <w:b/>
          <w:bCs/>
        </w:rPr>
        <w:br/>
        <w:t>0 – Not Voided</w:t>
      </w:r>
      <w:r w:rsidRPr="00457DE2">
        <w:rPr>
          <w:b/>
          <w:bCs/>
        </w:rPr>
        <w:br/>
        <w:t>1 – Voided</w:t>
      </w:r>
    </w:p>
    <w:p w14:paraId="31E2618D" w14:textId="77777777" w:rsidR="00A51B7F" w:rsidRPr="00A51B7F" w:rsidRDefault="00A51B7F" w:rsidP="00A51B7F">
      <w:pPr>
        <w:spacing w:after="0"/>
        <w:rPr>
          <w:b/>
          <w:bCs/>
        </w:rPr>
      </w:pPr>
    </w:p>
    <w:p w14:paraId="0FAD8E3C" w14:textId="77777777" w:rsidR="00457DE2" w:rsidRDefault="00457DE2" w:rsidP="00A51B7F">
      <w:pPr>
        <w:pStyle w:val="ListParagraph"/>
        <w:numPr>
          <w:ilvl w:val="1"/>
          <w:numId w:val="1"/>
        </w:numPr>
        <w:spacing w:after="0"/>
        <w:rPr>
          <w:b/>
          <w:bCs/>
        </w:rPr>
      </w:pPr>
      <w:r w:rsidRPr="00457DE2">
        <w:rPr>
          <w:b/>
          <w:bCs/>
          <w:u w:val="single"/>
        </w:rPr>
        <w:t>DROPSHIP (Drop Ship):</w:t>
      </w:r>
      <w:r w:rsidRPr="00457DE2">
        <w:rPr>
          <w:b/>
          <w:bCs/>
        </w:rPr>
        <w:br/>
        <w:t>0 – No Drop Ship</w:t>
      </w:r>
      <w:r w:rsidRPr="00457DE2">
        <w:rPr>
          <w:b/>
          <w:bCs/>
        </w:rPr>
        <w:br/>
        <w:t>1 – Drop Ship</w:t>
      </w:r>
    </w:p>
    <w:p w14:paraId="4DDCD3E6" w14:textId="77777777" w:rsidR="00A51B7F" w:rsidRPr="00A51B7F" w:rsidRDefault="00A51B7F" w:rsidP="00A51B7F">
      <w:pPr>
        <w:spacing w:after="0"/>
        <w:rPr>
          <w:b/>
          <w:bCs/>
        </w:rPr>
      </w:pPr>
    </w:p>
    <w:p w14:paraId="10364687" w14:textId="77777777" w:rsidR="00457DE2" w:rsidRDefault="00457DE2" w:rsidP="00A51B7F">
      <w:pPr>
        <w:pStyle w:val="ListParagraph"/>
        <w:numPr>
          <w:ilvl w:val="1"/>
          <w:numId w:val="1"/>
        </w:numPr>
        <w:spacing w:after="0"/>
        <w:rPr>
          <w:b/>
          <w:bCs/>
        </w:rPr>
      </w:pPr>
      <w:r w:rsidRPr="00457DE2">
        <w:rPr>
          <w:b/>
          <w:bCs/>
          <w:u w:val="single"/>
        </w:rPr>
        <w:t>NONINVEN (Non-Inventory):</w:t>
      </w:r>
      <w:r w:rsidRPr="00457DE2">
        <w:rPr>
          <w:b/>
          <w:bCs/>
        </w:rPr>
        <w:br/>
        <w:t>0 – Inventory item</w:t>
      </w:r>
      <w:r w:rsidRPr="00457DE2">
        <w:rPr>
          <w:b/>
          <w:bCs/>
        </w:rPr>
        <w:br/>
        <w:t>1 – Non-inventory item</w:t>
      </w:r>
    </w:p>
    <w:p w14:paraId="0A461E9F" w14:textId="77777777" w:rsidR="00A51B7F" w:rsidRPr="00A51B7F" w:rsidRDefault="00A51B7F" w:rsidP="00A51B7F">
      <w:pPr>
        <w:spacing w:after="0"/>
        <w:rPr>
          <w:b/>
          <w:bCs/>
        </w:rPr>
      </w:pPr>
    </w:p>
    <w:p w14:paraId="5B52EE5A" w14:textId="481FF2BC" w:rsidR="00A51B7F" w:rsidRDefault="00457DE2" w:rsidP="00A51B7F">
      <w:pPr>
        <w:pStyle w:val="ListParagraph"/>
        <w:numPr>
          <w:ilvl w:val="1"/>
          <w:numId w:val="1"/>
        </w:numPr>
        <w:spacing w:after="0"/>
        <w:rPr>
          <w:b/>
          <w:bCs/>
        </w:rPr>
      </w:pPr>
      <w:r w:rsidRPr="00457DE2">
        <w:rPr>
          <w:b/>
          <w:bCs/>
          <w:u w:val="single"/>
        </w:rPr>
        <w:t>SOPSTATUS (SOP Status):</w:t>
      </w:r>
      <w:r w:rsidRPr="00457DE2">
        <w:rPr>
          <w:b/>
          <w:bCs/>
        </w:rPr>
        <w:br/>
        <w:t xml:space="preserve">1 – </w:t>
      </w:r>
      <w:proofErr w:type="gramStart"/>
      <w:r w:rsidRPr="00457DE2">
        <w:rPr>
          <w:b/>
          <w:bCs/>
        </w:rPr>
        <w:t>New  (</w:t>
      </w:r>
      <w:proofErr w:type="gramEnd"/>
      <w:r w:rsidRPr="00457DE2">
        <w:rPr>
          <w:b/>
          <w:bCs/>
        </w:rPr>
        <w:t>Order)</w:t>
      </w:r>
      <w:r w:rsidRPr="00457DE2">
        <w:rPr>
          <w:b/>
          <w:bCs/>
        </w:rPr>
        <w:br/>
        <w:t>2 – Ready to Print Pick Ticket  (Fulfillment Order)</w:t>
      </w:r>
      <w:r w:rsidRPr="00457DE2">
        <w:rPr>
          <w:b/>
          <w:bCs/>
        </w:rPr>
        <w:br/>
        <w:t>3 – Unconfirmed Pick  (Fulfillment Order)</w:t>
      </w:r>
      <w:r w:rsidRPr="00457DE2">
        <w:rPr>
          <w:b/>
          <w:bCs/>
        </w:rPr>
        <w:br/>
        <w:t>4 – Ready to Print Pack Slip  (Fulfillment Order)</w:t>
      </w:r>
      <w:r w:rsidRPr="00457DE2">
        <w:rPr>
          <w:b/>
          <w:bCs/>
        </w:rPr>
        <w:br/>
        <w:t>5 – Unconfirmed Pack  (Fulfillment Order)</w:t>
      </w:r>
      <w:r w:rsidRPr="00457DE2">
        <w:rPr>
          <w:b/>
          <w:bCs/>
        </w:rPr>
        <w:br/>
        <w:t>6 – Shipped  (Fulfillment Order)</w:t>
      </w:r>
      <w:r w:rsidRPr="00457DE2">
        <w:rPr>
          <w:b/>
          <w:bCs/>
        </w:rPr>
        <w:br/>
        <w:t>7 – Ready to Post  (Invoice)</w:t>
      </w:r>
      <w:r w:rsidRPr="00457DE2">
        <w:rPr>
          <w:b/>
          <w:bCs/>
        </w:rPr>
        <w:br/>
        <w:t>8 – In Process  (Order)</w:t>
      </w:r>
      <w:r w:rsidRPr="00457DE2">
        <w:rPr>
          <w:b/>
          <w:bCs/>
        </w:rPr>
        <w:br/>
        <w:t>9 – Complete  (Order)</w:t>
      </w:r>
    </w:p>
    <w:p w14:paraId="561D6F0E" w14:textId="77777777" w:rsidR="00A51B7F" w:rsidRPr="00A51B7F" w:rsidRDefault="00A51B7F" w:rsidP="00A51B7F">
      <w:pPr>
        <w:spacing w:after="0"/>
        <w:rPr>
          <w:b/>
          <w:bCs/>
        </w:rPr>
      </w:pPr>
    </w:p>
    <w:p w14:paraId="5F8B0DED" w14:textId="77777777" w:rsidR="00457DE2" w:rsidRDefault="00457DE2" w:rsidP="00A51B7F">
      <w:pPr>
        <w:pStyle w:val="ListParagraph"/>
        <w:numPr>
          <w:ilvl w:val="1"/>
          <w:numId w:val="1"/>
        </w:numPr>
        <w:spacing w:after="0"/>
        <w:rPr>
          <w:b/>
          <w:bCs/>
        </w:rPr>
      </w:pPr>
      <w:r w:rsidRPr="00457DE2">
        <w:rPr>
          <w:b/>
          <w:bCs/>
          <w:u w:val="single"/>
        </w:rPr>
        <w:t>DELETE1 (</w:t>
      </w:r>
      <w:proofErr w:type="gramStart"/>
      <w:r w:rsidRPr="00457DE2">
        <w:rPr>
          <w:b/>
          <w:bCs/>
          <w:u w:val="single"/>
        </w:rPr>
        <w:t>Delete)  in</w:t>
      </w:r>
      <w:proofErr w:type="gramEnd"/>
      <w:r w:rsidRPr="00457DE2">
        <w:rPr>
          <w:b/>
          <w:bCs/>
          <w:u w:val="single"/>
        </w:rPr>
        <w:t xml:space="preserve"> SOP10104:</w:t>
      </w:r>
      <w:r w:rsidRPr="00457DE2">
        <w:rPr>
          <w:b/>
          <w:bCs/>
        </w:rPr>
        <w:br/>
        <w:t>0 – Not deleted</w:t>
      </w:r>
      <w:r w:rsidRPr="00457DE2">
        <w:rPr>
          <w:b/>
          <w:bCs/>
        </w:rPr>
        <w:br/>
        <w:t>1 – Hold has been removed</w:t>
      </w:r>
    </w:p>
    <w:p w14:paraId="3E558B17" w14:textId="77777777" w:rsidR="00A51B7F" w:rsidRPr="00A51B7F" w:rsidRDefault="00A51B7F" w:rsidP="00A51B7F">
      <w:pPr>
        <w:spacing w:after="0"/>
        <w:rPr>
          <w:b/>
          <w:bCs/>
        </w:rPr>
      </w:pPr>
    </w:p>
    <w:p w14:paraId="74A22DF0" w14:textId="77777777" w:rsidR="00457DE2" w:rsidRPr="00457DE2" w:rsidRDefault="00457DE2" w:rsidP="00A51B7F">
      <w:pPr>
        <w:pStyle w:val="ListParagraph"/>
        <w:numPr>
          <w:ilvl w:val="1"/>
          <w:numId w:val="1"/>
        </w:numPr>
        <w:spacing w:after="0"/>
        <w:rPr>
          <w:b/>
          <w:bCs/>
        </w:rPr>
      </w:pPr>
      <w:r w:rsidRPr="00457DE2">
        <w:rPr>
          <w:b/>
          <w:bCs/>
          <w:u w:val="single"/>
        </w:rPr>
        <w:t>PSTGSTUS (Posting Status):</w:t>
      </w:r>
      <w:r w:rsidRPr="00457DE2">
        <w:rPr>
          <w:b/>
          <w:bCs/>
        </w:rPr>
        <w:br/>
        <w:t>0 – Not posted</w:t>
      </w:r>
      <w:r w:rsidRPr="00457DE2">
        <w:rPr>
          <w:b/>
          <w:bCs/>
        </w:rPr>
        <w:br/>
        <w:t>2 – Posted</w:t>
      </w:r>
      <w:r w:rsidRPr="00457DE2">
        <w:rPr>
          <w:b/>
          <w:bCs/>
        </w:rPr>
        <w:br/>
        <w:t>3 – Error</w:t>
      </w:r>
      <w:r w:rsidRPr="00457DE2">
        <w:rPr>
          <w:b/>
          <w:bCs/>
        </w:rPr>
        <w:br/>
        <w:t>7 – checking for Duplicate Document numbers</w:t>
      </w:r>
      <w:r w:rsidRPr="00457DE2">
        <w:rPr>
          <w:b/>
          <w:bCs/>
        </w:rPr>
        <w:br/>
        <w:t>12 – verifying accuracy of amounts between detail &amp; header</w:t>
      </w:r>
      <w:r w:rsidRPr="00457DE2">
        <w:rPr>
          <w:b/>
          <w:bCs/>
        </w:rPr>
        <w:br/>
        <w:t>14 – verifying total detail amounts match header amount</w:t>
      </w:r>
      <w:r w:rsidRPr="00457DE2">
        <w:rPr>
          <w:b/>
          <w:bCs/>
        </w:rPr>
        <w:br/>
        <w:t>508 – transferring record from SOP10100 to SOP30200</w:t>
      </w:r>
      <w:r w:rsidRPr="00457DE2">
        <w:rPr>
          <w:b/>
          <w:bCs/>
        </w:rPr>
        <w:br/>
        <w:t>600 – validating detail &amp; header records match in history tables</w:t>
      </w:r>
    </w:p>
    <w:p w14:paraId="0CC93F29" w14:textId="77777777" w:rsidR="00457DE2" w:rsidRPr="00457DE2" w:rsidRDefault="00457DE2" w:rsidP="00A51B7F">
      <w:pPr>
        <w:pStyle w:val="ListParagraph"/>
        <w:spacing w:after="0"/>
        <w:ind w:left="1440"/>
        <w:rPr>
          <w:b/>
          <w:bCs/>
        </w:rPr>
      </w:pPr>
      <w:r w:rsidRPr="00457DE2">
        <w:rPr>
          <w:b/>
          <w:bCs/>
          <w:i/>
          <w:iCs/>
        </w:rPr>
        <w:t> </w:t>
      </w:r>
    </w:p>
    <w:p w14:paraId="1F88BBD2" w14:textId="77777777" w:rsidR="00457DE2" w:rsidRPr="00457DE2" w:rsidRDefault="00457DE2" w:rsidP="00A51B7F">
      <w:pPr>
        <w:pStyle w:val="ListParagraph"/>
        <w:numPr>
          <w:ilvl w:val="1"/>
          <w:numId w:val="1"/>
        </w:numPr>
        <w:spacing w:after="0"/>
        <w:rPr>
          <w:b/>
          <w:bCs/>
        </w:rPr>
      </w:pPr>
      <w:r w:rsidRPr="00457DE2">
        <w:rPr>
          <w:b/>
          <w:bCs/>
        </w:rPr>
        <w:t>Notes on reporting in SOP:</w:t>
      </w:r>
    </w:p>
    <w:p w14:paraId="5B9A3C68" w14:textId="77777777" w:rsidR="00457DE2" w:rsidRPr="00457DE2" w:rsidRDefault="00457DE2" w:rsidP="00A51B7F">
      <w:pPr>
        <w:pStyle w:val="ListParagraph"/>
        <w:numPr>
          <w:ilvl w:val="1"/>
          <w:numId w:val="1"/>
        </w:numPr>
        <w:spacing w:after="0"/>
        <w:rPr>
          <w:b/>
          <w:bCs/>
        </w:rPr>
      </w:pPr>
      <w:r w:rsidRPr="00457DE2">
        <w:rPr>
          <w:b/>
          <w:bCs/>
        </w:rPr>
        <w:t>Remember to filter out voided transactions.</w:t>
      </w:r>
    </w:p>
    <w:p w14:paraId="470C48CF" w14:textId="77777777" w:rsidR="00457DE2" w:rsidRPr="00457DE2" w:rsidRDefault="00457DE2" w:rsidP="00A51B7F">
      <w:pPr>
        <w:pStyle w:val="ListParagraph"/>
        <w:numPr>
          <w:ilvl w:val="1"/>
          <w:numId w:val="1"/>
        </w:numPr>
        <w:spacing w:after="0"/>
        <w:rPr>
          <w:b/>
          <w:bCs/>
        </w:rPr>
      </w:pPr>
      <w:r w:rsidRPr="00457DE2">
        <w:rPr>
          <w:b/>
          <w:bCs/>
        </w:rPr>
        <w:t>When linking SOP tables, always link on the SOPNUMBE and SOPTYPE.  While it doesn’t happen too often in real life, the system will allow you to have the same SOP number for different SOP types.</w:t>
      </w:r>
    </w:p>
    <w:p w14:paraId="3D51FDAC" w14:textId="77777777" w:rsidR="00457DE2" w:rsidRPr="00457DE2" w:rsidRDefault="00457DE2" w:rsidP="00A51B7F">
      <w:pPr>
        <w:pStyle w:val="ListParagraph"/>
        <w:numPr>
          <w:ilvl w:val="1"/>
          <w:numId w:val="1"/>
        </w:numPr>
        <w:spacing w:after="0"/>
        <w:rPr>
          <w:b/>
          <w:bCs/>
        </w:rPr>
      </w:pPr>
      <w:r w:rsidRPr="00457DE2">
        <w:rPr>
          <w:b/>
          <w:bCs/>
        </w:rPr>
        <w:t>On Invoices and Returns, QUANTITY is what was billed/credited, however, if you want to see the quantity in the ‘Base’ Unit of Measure (what the Inventory module keeps the quantities in), you will need to multiply the QUANTITY by the QTYBSUOM (Quantity in Base U of M).</w:t>
      </w:r>
    </w:p>
    <w:p w14:paraId="0D7D8C79" w14:textId="77777777" w:rsidR="00457DE2" w:rsidRPr="00457DE2" w:rsidRDefault="00457DE2" w:rsidP="00A51B7F">
      <w:pPr>
        <w:pStyle w:val="ListParagraph"/>
        <w:numPr>
          <w:ilvl w:val="1"/>
          <w:numId w:val="1"/>
        </w:numPr>
        <w:spacing w:after="0"/>
        <w:rPr>
          <w:b/>
          <w:bCs/>
        </w:rPr>
      </w:pPr>
      <w:r w:rsidRPr="00457DE2">
        <w:rPr>
          <w:b/>
          <w:bCs/>
        </w:rPr>
        <w:t>Returns will show up as positive numbers – you’ll need to change the sign if you are adding all the transactions together.</w:t>
      </w:r>
    </w:p>
    <w:p w14:paraId="63B9E53A" w14:textId="6DF27F04" w:rsidR="00457DE2" w:rsidRPr="00A51B7F" w:rsidRDefault="00457DE2" w:rsidP="00A51B7F">
      <w:pPr>
        <w:pStyle w:val="ListParagraph"/>
        <w:numPr>
          <w:ilvl w:val="1"/>
          <w:numId w:val="1"/>
        </w:numPr>
        <w:spacing w:after="0"/>
        <w:rPr>
          <w:b/>
          <w:bCs/>
        </w:rPr>
      </w:pPr>
      <w:r w:rsidRPr="00457DE2">
        <w:rPr>
          <w:b/>
          <w:bCs/>
        </w:rPr>
        <w:t xml:space="preserve">Try not to use DEXROWID for any reporting logic, as there are times </w:t>
      </w:r>
      <w:proofErr w:type="gramStart"/>
      <w:r w:rsidRPr="00457DE2">
        <w:rPr>
          <w:b/>
          <w:bCs/>
        </w:rPr>
        <w:t>where</w:t>
      </w:r>
      <w:proofErr w:type="gramEnd"/>
      <w:r w:rsidRPr="00457DE2">
        <w:rPr>
          <w:b/>
          <w:bCs/>
        </w:rPr>
        <w:t xml:space="preserve"> these get repopulated, for example when you upgrade to a new version.</w:t>
      </w:r>
    </w:p>
    <w:sectPr w:rsidR="00457DE2" w:rsidRPr="00A51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0C6F20"/>
    <w:multiLevelType w:val="hybridMultilevel"/>
    <w:tmpl w:val="0966C760"/>
    <w:lvl w:ilvl="0" w:tplc="B5F2732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B313B"/>
    <w:multiLevelType w:val="multilevel"/>
    <w:tmpl w:val="E266F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D210CA"/>
    <w:multiLevelType w:val="multilevel"/>
    <w:tmpl w:val="6B368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821285">
    <w:abstractNumId w:val="0"/>
  </w:num>
  <w:num w:numId="2" w16cid:durableId="1267036494">
    <w:abstractNumId w:val="1"/>
  </w:num>
  <w:num w:numId="3" w16cid:durableId="1834953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DC"/>
    <w:rsid w:val="001F29AA"/>
    <w:rsid w:val="00457DE2"/>
    <w:rsid w:val="007B09DC"/>
    <w:rsid w:val="00A51B7F"/>
    <w:rsid w:val="00AD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FF73"/>
  <w15:chartTrackingRefBased/>
  <w15:docId w15:val="{9FE58924-AED2-472F-A5FA-1BA24D2B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0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0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9DC"/>
    <w:rPr>
      <w:rFonts w:eastAsiaTheme="majorEastAsia" w:cstheme="majorBidi"/>
      <w:color w:val="272727" w:themeColor="text1" w:themeTint="D8"/>
    </w:rPr>
  </w:style>
  <w:style w:type="paragraph" w:styleId="Title">
    <w:name w:val="Title"/>
    <w:basedOn w:val="Normal"/>
    <w:next w:val="Normal"/>
    <w:link w:val="TitleChar"/>
    <w:uiPriority w:val="10"/>
    <w:qFormat/>
    <w:rsid w:val="007B0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9DC"/>
    <w:pPr>
      <w:spacing w:before="160"/>
      <w:jc w:val="center"/>
    </w:pPr>
    <w:rPr>
      <w:i/>
      <w:iCs/>
      <w:color w:val="404040" w:themeColor="text1" w:themeTint="BF"/>
    </w:rPr>
  </w:style>
  <w:style w:type="character" w:customStyle="1" w:styleId="QuoteChar">
    <w:name w:val="Quote Char"/>
    <w:basedOn w:val="DefaultParagraphFont"/>
    <w:link w:val="Quote"/>
    <w:uiPriority w:val="29"/>
    <w:rsid w:val="007B09DC"/>
    <w:rPr>
      <w:i/>
      <w:iCs/>
      <w:color w:val="404040" w:themeColor="text1" w:themeTint="BF"/>
    </w:rPr>
  </w:style>
  <w:style w:type="paragraph" w:styleId="ListParagraph">
    <w:name w:val="List Paragraph"/>
    <w:basedOn w:val="Normal"/>
    <w:uiPriority w:val="34"/>
    <w:qFormat/>
    <w:rsid w:val="007B09DC"/>
    <w:pPr>
      <w:ind w:left="720"/>
      <w:contextualSpacing/>
    </w:pPr>
  </w:style>
  <w:style w:type="character" w:styleId="IntenseEmphasis">
    <w:name w:val="Intense Emphasis"/>
    <w:basedOn w:val="DefaultParagraphFont"/>
    <w:uiPriority w:val="21"/>
    <w:qFormat/>
    <w:rsid w:val="007B09DC"/>
    <w:rPr>
      <w:i/>
      <w:iCs/>
      <w:color w:val="0F4761" w:themeColor="accent1" w:themeShade="BF"/>
    </w:rPr>
  </w:style>
  <w:style w:type="paragraph" w:styleId="IntenseQuote">
    <w:name w:val="Intense Quote"/>
    <w:basedOn w:val="Normal"/>
    <w:next w:val="Normal"/>
    <w:link w:val="IntenseQuoteChar"/>
    <w:uiPriority w:val="30"/>
    <w:qFormat/>
    <w:rsid w:val="007B0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9DC"/>
    <w:rPr>
      <w:i/>
      <w:iCs/>
      <w:color w:val="0F4761" w:themeColor="accent1" w:themeShade="BF"/>
    </w:rPr>
  </w:style>
  <w:style w:type="character" w:styleId="IntenseReference">
    <w:name w:val="Intense Reference"/>
    <w:basedOn w:val="DefaultParagraphFont"/>
    <w:uiPriority w:val="32"/>
    <w:qFormat/>
    <w:rsid w:val="007B09DC"/>
    <w:rPr>
      <w:b/>
      <w:bCs/>
      <w:smallCaps/>
      <w:color w:val="0F4761" w:themeColor="accent1" w:themeShade="BF"/>
      <w:spacing w:val="5"/>
    </w:rPr>
  </w:style>
  <w:style w:type="paragraph" w:styleId="NormalWeb">
    <w:name w:val="Normal (Web)"/>
    <w:basedOn w:val="Normal"/>
    <w:uiPriority w:val="99"/>
    <w:unhideWhenUsed/>
    <w:rsid w:val="00457D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7DE2"/>
    <w:rPr>
      <w:b/>
      <w:bCs/>
    </w:rPr>
  </w:style>
  <w:style w:type="character" w:styleId="Emphasis">
    <w:name w:val="Emphasis"/>
    <w:basedOn w:val="DefaultParagraphFont"/>
    <w:uiPriority w:val="20"/>
    <w:qFormat/>
    <w:rsid w:val="00457DE2"/>
    <w:rPr>
      <w:i/>
      <w:iCs/>
    </w:rPr>
  </w:style>
  <w:style w:type="character" w:styleId="Hyperlink">
    <w:name w:val="Hyperlink"/>
    <w:basedOn w:val="DefaultParagraphFont"/>
    <w:uiPriority w:val="99"/>
    <w:unhideWhenUsed/>
    <w:rsid w:val="00457DE2"/>
    <w:rPr>
      <w:color w:val="467886" w:themeColor="hyperlink"/>
      <w:u w:val="single"/>
    </w:rPr>
  </w:style>
  <w:style w:type="character" w:styleId="UnresolvedMention">
    <w:name w:val="Unresolved Mention"/>
    <w:basedOn w:val="DefaultParagraphFont"/>
    <w:uiPriority w:val="99"/>
    <w:semiHidden/>
    <w:unhideWhenUsed/>
    <w:rsid w:val="00457DE2"/>
    <w:rPr>
      <w:color w:val="605E5C"/>
      <w:shd w:val="clear" w:color="auto" w:fill="E1DFDD"/>
    </w:rPr>
  </w:style>
  <w:style w:type="character" w:styleId="FollowedHyperlink">
    <w:name w:val="FollowedHyperlink"/>
    <w:basedOn w:val="DefaultParagraphFont"/>
    <w:uiPriority w:val="99"/>
    <w:semiHidden/>
    <w:unhideWhenUsed/>
    <w:rsid w:val="00457D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846975">
      <w:bodyDiv w:val="1"/>
      <w:marLeft w:val="0"/>
      <w:marRight w:val="0"/>
      <w:marTop w:val="0"/>
      <w:marBottom w:val="0"/>
      <w:divBdr>
        <w:top w:val="none" w:sz="0" w:space="0" w:color="auto"/>
        <w:left w:val="none" w:sz="0" w:space="0" w:color="auto"/>
        <w:bottom w:val="none" w:sz="0" w:space="0" w:color="auto"/>
        <w:right w:val="none" w:sz="0" w:space="0" w:color="auto"/>
      </w:divBdr>
    </w:div>
    <w:div w:id="1542783384">
      <w:bodyDiv w:val="1"/>
      <w:marLeft w:val="0"/>
      <w:marRight w:val="0"/>
      <w:marTop w:val="0"/>
      <w:marBottom w:val="0"/>
      <w:divBdr>
        <w:top w:val="none" w:sz="0" w:space="0" w:color="auto"/>
        <w:left w:val="none" w:sz="0" w:space="0" w:color="auto"/>
        <w:bottom w:val="none" w:sz="0" w:space="0" w:color="auto"/>
        <w:right w:val="none" w:sz="0" w:space="0" w:color="auto"/>
      </w:divBdr>
    </w:div>
    <w:div w:id="1938714195">
      <w:bodyDiv w:val="1"/>
      <w:marLeft w:val="0"/>
      <w:marRight w:val="0"/>
      <w:marTop w:val="0"/>
      <w:marBottom w:val="0"/>
      <w:divBdr>
        <w:top w:val="none" w:sz="0" w:space="0" w:color="auto"/>
        <w:left w:val="none" w:sz="0" w:space="0" w:color="auto"/>
        <w:bottom w:val="none" w:sz="0" w:space="0" w:color="auto"/>
        <w:right w:val="none" w:sz="0" w:space="0" w:color="auto"/>
      </w:divBdr>
    </w:div>
    <w:div w:id="19538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ctoriayu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Cusey</dc:creator>
  <cp:keywords/>
  <dc:description/>
  <cp:lastModifiedBy>Cody Cusey</cp:lastModifiedBy>
  <cp:revision>2</cp:revision>
  <dcterms:created xsi:type="dcterms:W3CDTF">2025-02-10T15:48:00Z</dcterms:created>
  <dcterms:modified xsi:type="dcterms:W3CDTF">2025-02-10T16:02:00Z</dcterms:modified>
</cp:coreProperties>
</file>