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&lt;lvgl.h&gt;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&lt;TFT_eSPI.h&gt;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TFT_eSPI tft = TFT_eSPI(); /* TFT instance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my_disp_flush(lv_disp_drv_t *disp, const lv_area_t *area, lv_color_t *color_p)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tft.startWrite();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tft.setAddrWindow(area-&gt;x1, area-&gt;y1, area-&gt;x2 - area-&gt;x1 + 1, area-&gt;y2 - area-&gt;y1 + 1);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tft.pushColors(&amp;color_p-&gt;full, (area-&gt;x2 - area-&gt;x1 + 1) * (area-&gt;y2 - area-&gt;y1 + 1), true);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tft.endWrite();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lv_disp_flush_ready(disp);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tft.begin(); /* TFT init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tft.setRotation(1); /* Landscape orientation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lv_init();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static lv_disp_draw_buf_t draw_buf;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static lv_color_t buf[LV_HOR_RES_MAX * 10];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lv_disp_draw_buf_init(&amp;draw_buf, buf, NULL, LV_HOR_RES_MAX * 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static lv_disp_drv_t disp_drv;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lv_disp_drv_init(&amp;disp_drv);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disp_drv.hor_res = 320;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disp_drv.ver_res = 480;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disp_drv.flush_cb = my_disp_flush;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disp_drv.draw_buf = &amp;draw_buf;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lv_disp_drv_register(&amp;disp_drv);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lv_timer_handler(); /* let the GUI do its work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delay(5);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