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7.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2023-2024</w:t>
      </w:r>
    </w:p>
    <w:p>
      <w:pPr>
        <w:pStyle w:val="Date"/>
      </w:pPr>
      <w:r>
        <w:t xml:space="preserve">2022-08-01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1"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0" w:name="need-based-financial-aid"/>
    <w:p>
      <w:pPr>
        <w:pStyle w:val="Heading3"/>
      </w:pPr>
      <w:r>
        <w:t xml:space="preserve">29.0.3 NEED-BASED FINANCIAL AID</w:t>
      </w:r>
    </w:p>
    <w:p>
      <w:pPr>
        <w:pStyle w:val="SourceCode"/>
      </w:pPr>
      <w:r>
        <w:rPr>
          <w:rStyle w:val="VerbatimChar"/>
        </w:rPr>
        <w:t xml:space="preserve"> 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r>
        <w:br/>
      </w:r>
      <w:r>
        <w:br/>
      </w:r>
      <w:r>
        <w:rPr>
          <w:rStyle w:val="VerbatimChar"/>
        </w:rPr>
        <w:t xml:space="preserve"> 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 </w:t>
      </w:r>
      <w:r>
        <w:br/>
      </w:r>
      <w:r>
        <w:br/>
      </w:r>
      <w:r>
        <w:rPr>
          <w:rStyle w:val="VerbatimChar"/>
        </w:rPr>
        <w:t xml:space="preserve"> Application for all need-based financial aid programs must be made for each year the student is enrolled. The FAFSA is available online at [Federal Student Aid](www.fafsa.gov).</w:t>
      </w:r>
    </w:p>
    <w:p>
      <w:pPr>
        <w:pStyle w:val="FirstParagraph"/>
      </w:pPr>
      <w:r>
        <w:rPr>
          <w:b/>
          <w:bCs/>
        </w:rPr>
        <w:t xml:space="preserve">Verification Process</w:t>
      </w:r>
    </w:p>
    <w:p>
      <w:pPr>
        <w:pStyle w:val="SourceCode"/>
      </w:pPr>
      <w:r>
        <w:rPr>
          <w:rStyle w:val="VerbatimChar"/>
        </w:rPr>
        <w:t xml:space="preserve"> 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 </w:t>
      </w:r>
    </w:p>
    <w:bookmarkEnd w:id="490"/>
    <w:bookmarkStart w:id="491" w:name="need-based-gift-aid"/>
    <w:p>
      <w:pPr>
        <w:pStyle w:val="Heading3"/>
      </w:pPr>
      <w:r>
        <w:t xml:space="preserve">29.0.4 NEED-BASED GIFT AID</w:t>
      </w:r>
    </w:p>
    <w:p>
      <w:pPr>
        <w:pStyle w:val="SourceCode"/>
      </w:pPr>
      <w:r>
        <w:rPr>
          <w:rStyle w:val="VerbatimChar"/>
        </w:rPr>
        <w:t xml:space="preserve"> Gift aid does not have to be repaid by the student. Need-based gift aid is available through federal, state, institutional and outside sources.</w:t>
      </w:r>
      <w:r>
        <w:br/>
      </w:r>
      <w:r>
        <w:br/>
      </w:r>
      <w:r>
        <w:rPr>
          <w:rStyle w:val="VerbatimChar"/>
        </w:rPr>
        <w:t xml:space="preserve"> The value of a Coe Grant is influenced by a student’s financial need. The amount of the Coe Grant can vary from year to year, depending on changes in family income, room and board charges, and the availability of funding.</w:t>
      </w:r>
      <w:r>
        <w:br/>
      </w:r>
      <w:r>
        <w:rPr>
          <w:rStyle w:val="VerbatimChar"/>
        </w:rPr>
        <w:t xml:space="preserve"> Coe has many endowed scholarships that have been established by generous alumni and friends of the College. Income from these scholarships is used primarily to support Coe funded merit- and need-based aid. Students awarded Coe aid may be asked to complete an ‘Endowed Scholarship Application.’ The Financial Aid Office will use information from this application to match students with endowed scholarships. Students designated to have their Coe aid funded by an endowed scholarship may be contacted by the Coe College Advancement Office with information about their donor. (**Note**: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  </w:t>
      </w:r>
      <w:r>
        <w:br/>
      </w:r>
      <w:r>
        <w:rPr>
          <w:rStyle w:val="VerbatimChar"/>
        </w:rPr>
        <w:t xml:space="preserve"> The **Federal Pell Grant** program is designed to provide financial assistance to eligible undergraduates. Application is made by filing a Free Application for Federal Student Aid (FAFSA).</w:t>
      </w:r>
      <w:r>
        <w:br/>
      </w:r>
      <w:r>
        <w:rPr>
          <w:rStyle w:val="VerbatimChar"/>
        </w:rPr>
        <w:t xml:space="preserve"> 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w:t>
      </w:r>
      <w:r>
        <w:br/>
      </w:r>
      <w:r>
        <w:rPr>
          <w:rStyle w:val="VerbatimChar"/>
        </w:rPr>
        <w:t xml:space="preserve"> 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r>
        <w:br/>
      </w:r>
      <w:r>
        <w:br/>
      </w:r>
      <w:r>
        <w:rPr>
          <w:rStyle w:val="VerbatimChar"/>
        </w:rPr>
        <w:t xml:space="preserve">**State-Funded Grants and Scholarships**</w:t>
      </w:r>
      <w:r>
        <w:br/>
      </w:r>
      <w:r>
        <w:rPr>
          <w:rStyle w:val="VerbatimChar"/>
        </w:rPr>
        <w:t xml:space="preserve">**Iowa Tuition Grant (ITG)**</w:t>
      </w:r>
      <w:r>
        <w:br/>
      </w:r>
      <w:r>
        <w:rPr>
          <w:rStyle w:val="VerbatimChar"/>
        </w:rPr>
        <w:t xml:space="preserve">**All Iowa Oppurtunity Grant**</w:t>
      </w:r>
      <w:r>
        <w:br/>
      </w:r>
      <w:r>
        <w:rPr>
          <w:rStyle w:val="VerbatimChar"/>
        </w:rPr>
        <w:t xml:space="preserve">**Education and Training Vouchers (ETV)**</w:t>
      </w:r>
      <w:r>
        <w:br/>
      </w:r>
      <w:r>
        <w:br/>
      </w:r>
      <w:r>
        <w:rPr>
          <w:rStyle w:val="VerbatimChar"/>
        </w:rP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1^st^. Only incoming first-year students may apply for these need-based renewable scholarships. (Applicants must complete the FAFSA to renew the scholarship.)</w:t>
      </w:r>
    </w:p>
    <w:bookmarkEnd w:id="491"/>
    <w:bookmarkStart w:id="492" w:name="non-need-based-gift-aid"/>
    <w:p>
      <w:pPr>
        <w:pStyle w:val="Heading3"/>
      </w:pPr>
      <w:r>
        <w:t xml:space="preserve">29.0.5 Non-Need Based Gift Aid</w:t>
      </w:r>
    </w:p>
    <w:p>
      <w:pPr>
        <w:pStyle w:val="SourceCode"/>
      </w:pPr>
      <w:r>
        <w:rPr>
          <w:rStyle w:val="VerbatimChar"/>
        </w:rP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2"/>
    <w:bookmarkStart w:id="493"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3"/>
    <w:bookmarkStart w:id="495"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4">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5"/>
    <w:bookmarkStart w:id="499"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6"/>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7"/>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499"/>
    <w:bookmarkStart w:id="500"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0"/>
    <w:bookmarkEnd w:id="501"/>
    <w:bookmarkStart w:id="506" w:name="directories"/>
    <w:p>
      <w:pPr>
        <w:pStyle w:val="Heading1"/>
      </w:pPr>
      <w:r>
        <w:t xml:space="preserve">30. DIRECTORIES</w:t>
      </w:r>
    </w:p>
    <w:bookmarkStart w:id="505" w:name="the-faculty"/>
    <w:p>
      <w:pPr>
        <w:pStyle w:val="Heading2"/>
      </w:pPr>
      <w:r>
        <w:t xml:space="preserve">30.1 The Faculty</w:t>
      </w:r>
    </w:p>
    <w:bookmarkStart w:id="502"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2"/>
    <w:bookmarkStart w:id="503"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3"/>
    <w:bookmarkStart w:id="504"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4"/>
    <w:bookmarkEnd w:id="505"/>
    <w:bookmarkEnd w:id="506"/>
    <w:bookmarkStart w:id="510" w:name="sec-campus-map"/>
    <w:p>
      <w:pPr>
        <w:pStyle w:val="Heading1"/>
      </w:pPr>
      <w:r>
        <w:t xml:space="preserve">31. CAMPUS MAP</w:t>
      </w:r>
    </w:p>
    <w:p>
      <w:pPr>
        <w:pStyle w:val="FirstParagraph"/>
      </w:pPr>
      <w:r>
        <w:drawing>
          <wp:inline>
            <wp:extent cx="5334000" cy="4229768"/>
            <wp:effectExtent b="0" l="0" r="0" t="0"/>
            <wp:docPr descr="" title="" id="508" name="Picture"/>
            <a:graphic>
              <a:graphicData uri="http://schemas.openxmlformats.org/drawingml/2006/picture">
                <pic:pic>
                  <pic:nvPicPr>
                    <pic:cNvPr descr="catalog_sections/graphics/Campus-Map_full-screen.jpg" id="509" name="Picture"/>
                    <pic:cNvPicPr>
                      <a:picLocks noChangeArrowheads="1" noChangeAspect="1"/>
                    </pic:cNvPicPr>
                  </pic:nvPicPr>
                  <pic:blipFill>
                    <a:blip r:embed="rId507"/>
                    <a:stretch>
                      <a:fillRect/>
                    </a:stretch>
                  </pic:blipFill>
                  <pic:spPr bwMode="auto">
                    <a:xfrm>
                      <a:off x="0" y="0"/>
                      <a:ext cx="5334000" cy="4229768"/>
                    </a:xfrm>
                    <a:prstGeom prst="rect">
                      <a:avLst/>
                    </a:prstGeom>
                    <a:noFill/>
                    <a:ln w="9525">
                      <a:noFill/>
                      <a:headEnd/>
                      <a:tailEnd/>
                    </a:ln>
                  </pic:spPr>
                </pic:pic>
              </a:graphicData>
            </a:graphic>
          </wp:inline>
        </w:drawing>
      </w:r>
    </w:p>
    <w:bookmarkEnd w:id="5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6">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7">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7" Target="media/rId507.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4" Target="studentaid.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4" Target="studentaid.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2023-2024</dc:title>
  <dc:creator/>
  <cp:keywords/>
  <dcterms:created xsi:type="dcterms:W3CDTF">2025-04-04T16:41:52Z</dcterms:created>
  <dcterms:modified xsi:type="dcterms:W3CDTF">2025-04-04T16:41:52Z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