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8.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2025-2026</w:t>
      </w:r>
    </w:p>
    <w:p>
      <w:pPr>
        <w:pStyle w:val="Date"/>
      </w:pPr>
      <w:r>
        <w:t xml:space="preserve">2025-08-01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19</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p>
    <w:p>
      <w:pPr>
        <w:pStyle w:val="BodyText"/>
      </w:pPr>
      <w:r>
        <w:rPr>
          <w:b/>
          <w:bCs/>
        </w:rPr>
        <w:t xml:space="preserve">PHL 105 Introduction to Philosophy: Minds, Knowledge, and Value (WE)</w:t>
      </w:r>
      <w:r>
        <w:br/>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r>
        <w:br/>
      </w:r>
      <w:r>
        <w:rPr>
          <w:b/>
          <w:bCs/>
        </w:rPr>
        <w:t xml:space="preserve">PHL 105 Introduction to Philosophy: God, Self, and Free Will (WE)</w:t>
      </w:r>
      <w:r>
        <w:br/>
      </w:r>
      <w:r>
        <w:t xml:space="preserve">Focuses on questions about the nature and existence of God, human nature, personhood, and free will. Is there evidence for the existence of God and is the presence of suffering in 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r>
        <w:br/>
      </w:r>
      <w:r>
        <w:rPr>
          <w:b/>
          <w:bCs/>
        </w:rPr>
        <w:t xml:space="preserve">PHL 105 Introduction to Philosophy: Masterworks (WE)</w:t>
      </w:r>
      <w:r>
        <w:br/>
      </w:r>
      <w:r>
        <w:t xml:space="preserve">Central philosophical debates encountered through the examination of important classical and modern texts from the history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r>
        <w:br/>
      </w:r>
      <w:r>
        <w:rPr>
          <w:b/>
          <w:bCs/>
        </w:rPr>
        <w:t xml:space="preserve">PHL 105 Introduction to Philosophy: Science Fiction and Philosophy (WE)</w:t>
      </w:r>
      <w:r>
        <w:br/>
      </w:r>
      <w:r>
        <w:t xml:space="preserve">Uses science fiction as a springboard for thinking about classic issues and problems in philosophy. Sci-fi classics such as The Matrix, Bladerunner, and Surrogates, raise fundamental philosophical questions such as: What is the difference between appearance and reality and how can we distinguish between them? What is it to be a person? Should we think that all and only human beings can be persons?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2"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pStyle w:val="BodyText"/>
      </w:pPr>
      <w:r>
        <w:t xml:space="preserve">The value of a Coe Grant is influenced by a student’s financial need. The amount of the Coe Grant can vary from year to year, depending on changes in family income, room and board charges, and the availability of funding.</w:t>
      </w:r>
      <w:r>
        <w:br/>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‘Endowed Scholarship Application.’</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r>
        <w:br/>
      </w:r>
      <w:r>
        <w:t xml:space="preserve">The</w:t>
      </w:r>
      <w:r>
        <w:t xml:space="preserve"> </w:t>
      </w:r>
      <w:r>
        <w:rPr>
          <w:b/>
          <w:bCs/>
        </w:rPr>
        <w:t xml:space="preserve">Federal Pell Grant</w:t>
      </w:r>
      <w:r>
        <w:t xml:space="preserve"> </w:t>
      </w:r>
      <w:r>
        <w:t xml:space="preserve">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w:t>
      </w:r>
      <w:r>
        <w:t xml:space="preserve"> </w:t>
      </w:r>
      <w:r>
        <w:t xml:space="preserve">The</w:t>
      </w:r>
      <w:r>
        <w:t xml:space="preserve"> </w:t>
      </w:r>
      <w:r>
        <w:rPr>
          <w:b/>
          <w:bCs/>
        </w:rPr>
        <w:t xml:space="preserve">Federal Supplemental Educational Opportunity Grant (SEOG)</w:t>
      </w:r>
      <w:r>
        <w:t xml:space="preserve"> </w:t>
      </w:r>
      <w:r>
        <w:t xml:space="preserve">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pStyle w:val="BodyText"/>
      </w:pPr>
      <w:r>
        <w:rPr>
          <w:b/>
          <w:bCs/>
        </w:rPr>
        <w:t xml:space="preserve">State-Funded Grants and Scholarships</w:t>
      </w:r>
      <w:r>
        <w:br/>
      </w:r>
      <w:r>
        <w:rPr>
          <w:b/>
          <w:bCs/>
        </w:rPr>
        <w:t xml:space="preserve">Iowa Tuition Grant (ITG)</w:t>
      </w:r>
      <w:r>
        <w:br/>
      </w:r>
      <w:r>
        <w:rPr>
          <w:b/>
          <w:bCs/>
        </w:rPr>
        <w:t xml:space="preserve">All Iowa Oppurtunity Grant</w:t>
      </w:r>
      <w:r>
        <w:br/>
      </w:r>
      <w:r>
        <w:rPr>
          <w:b/>
          <w:bCs/>
        </w:rPr>
        <w:t xml:space="preserve">Education and Training Vouchers (ETV)</w:t>
      </w:r>
    </w:p>
    <w:p>
      <w:pPr>
        <w:pStyle w:val="BodyText"/>
      </w:pP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3" w:name="non-need-based-gift-aid"/>
    <w:p>
      <w:pPr>
        <w:pStyle w:val="Heading3"/>
      </w:pPr>
      <w:r>
        <w:t xml:space="preserve">29.0.5 Non-Need Based Gift Aid</w:t>
      </w:r>
    </w:p>
    <w:p>
      <w:pPr>
        <w:pStyle w:val="FirstParagraph"/>
      </w:pPr>
      <w:r>
        <w:t xml:space="preserve">The</w:t>
      </w:r>
      <w:r>
        <w:t xml:space="preserve"> </w:t>
      </w:r>
      <w:r>
        <w:rPr>
          <w:b/>
          <w:bCs/>
        </w:rPr>
        <w:t xml:space="preserve">Education Assistance for College and Higher Education (TEACH)</w:t>
      </w:r>
      <w:r>
        <w:t xml:space="preserve"> </w:t>
      </w:r>
      <w:r>
        <w:t xml:space="preserve">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3"/>
    <w:bookmarkStart w:id="494"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4"/>
    <w:bookmarkStart w:id="496"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5">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6"/>
    <w:bookmarkStart w:id="500"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7"/>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0"/>
    <w:bookmarkStart w:id="501"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1"/>
    <w:bookmarkEnd w:id="502"/>
    <w:bookmarkStart w:id="507" w:name="directories"/>
    <w:p>
      <w:pPr>
        <w:pStyle w:val="Heading1"/>
      </w:pPr>
      <w:r>
        <w:t xml:space="preserve">30. DIRECTORIES</w:t>
      </w:r>
    </w:p>
    <w:bookmarkStart w:id="506" w:name="the-faculty"/>
    <w:p>
      <w:pPr>
        <w:pStyle w:val="Heading2"/>
      </w:pPr>
      <w:r>
        <w:t xml:space="preserve">30.1 The Faculty</w:t>
      </w:r>
    </w:p>
    <w:bookmarkStart w:id="503"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3"/>
    <w:bookmarkStart w:id="504"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4"/>
    <w:bookmarkStart w:id="505"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5"/>
    <w:bookmarkEnd w:id="506"/>
    <w:bookmarkEnd w:id="507"/>
    <w:bookmarkStart w:id="511" w:name="sec-campus-map"/>
    <w:p>
      <w:pPr>
        <w:pStyle w:val="Heading1"/>
      </w:pPr>
      <w:r>
        <w:t xml:space="preserve">31. CAMPUS MAP</w:t>
      </w:r>
    </w:p>
    <w:p>
      <w:pPr>
        <w:pStyle w:val="FirstParagraph"/>
      </w:pPr>
      <w:r>
        <w:drawing>
          <wp:inline>
            <wp:extent cx="5334000" cy="4229768"/>
            <wp:effectExtent b="0" l="0" r="0" t="0"/>
            <wp:docPr descr="" title="" id="509" name="Picture"/>
            <a:graphic>
              <a:graphicData uri="http://schemas.openxmlformats.org/drawingml/2006/picture">
                <pic:pic>
                  <pic:nvPicPr>
                    <pic:cNvPr descr="catalog_sections/graphics/Campus-Map_full-screen.jpg" id="510" name="Picture"/>
                    <pic:cNvPicPr>
                      <a:picLocks noChangeArrowheads="1" noChangeAspect="1"/>
                    </pic:cNvPicPr>
                  </pic:nvPicPr>
                  <pic:blipFill>
                    <a:blip r:embed="rId508"/>
                    <a:stretch>
                      <a:fillRect/>
                    </a:stretch>
                  </pic:blipFill>
                  <pic:spPr bwMode="auto">
                    <a:xfrm>
                      <a:off x="0" y="0"/>
                      <a:ext cx="5334000" cy="4229768"/>
                    </a:xfrm>
                    <a:prstGeom prst="rect">
                      <a:avLst/>
                    </a:prstGeom>
                    <a:noFill/>
                    <a:ln w="9525">
                      <a:noFill/>
                      <a:headEnd/>
                      <a:tailEnd/>
                    </a:ln>
                  </pic:spPr>
                </pic:pic>
              </a:graphicData>
            </a:graphic>
          </wp:inline>
        </w:drawing>
      </w:r>
    </w:p>
    <w:bookmarkEnd w:id="5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7">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8" Target="media/rId508.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2025-2026</dc:title>
  <dc:creator/>
  <cp:keywords/>
  <dcterms:created xsi:type="dcterms:W3CDTF">2025-06-27T16:22:13Z</dcterms:created>
  <dcterms:modified xsi:type="dcterms:W3CDTF">2025-06-27T16:22:13Z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2025-08-01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