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0.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Catalog</w:t>
      </w:r>
      <w:r>
        <w:t xml:space="preserve"> </w:t>
      </w:r>
      <w:r>
        <w:t xml:space="preserve">2022-2023</w:t>
      </w:r>
    </w:p>
    <w:p>
      <w:pPr>
        <w:pStyle w:val="Date"/>
      </w:pPr>
      <w:r>
        <w:t xml:space="preserve">2022-08-01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w:t>
      </w:r>
      <w:r>
        <w:t xml:space="preserve">made available for the education of females as well as males.</w:t>
      </w:r>
      <w:r>
        <w:t xml:space="preserve">”</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w:t>
      </w:r>
      <w:r>
        <w:t xml:space="preserve">F</w:t>
      </w:r>
      <w:r>
        <w:t xml:space="preserve">”</w:t>
      </w:r>
      <w:r>
        <w:t xml:space="preserve"> </w:t>
      </w:r>
      <w:r>
        <w:t xml:space="preserve">to</w:t>
      </w:r>
      <w:r>
        <w:t xml:space="preserve"> </w:t>
      </w:r>
      <w:r>
        <w:t xml:space="preserve">“</w:t>
      </w:r>
      <w:r>
        <w:t xml:space="preserve">NP</w:t>
      </w:r>
      <w:r>
        <w:t xml:space="preserve">”</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w:t>
      </w:r>
      <w:r>
        <w:t xml:space="preserve">a series of intensive writing experiences, spread across four years of study.</w:t>
      </w:r>
      <w:r>
        <w:t xml:space="preserve">”</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t>
      </w:r>
      <w:r>
        <w:t xml:space="preserve">Writing Emphasis</w:t>
      </w:r>
      <w:r>
        <w:t xml:space="preserve">”</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w:t>
      </w:r>
      <w:r>
        <w:t xml:space="preserve">RHE-200 Rhetorical Theory &amp; Practice (WE).</w:t>
      </w:r>
      <w:r>
        <w:t xml:space="preserve">”</w:t>
      </w:r>
      <w:r>
        <w:t xml:space="preserve"> </w:t>
      </w:r>
      <w:r>
        <w:t xml:space="preserve">In other contexts, the course code may end with a</w:t>
      </w:r>
      <w:r>
        <w:t xml:space="preserve"> </w:t>
      </w:r>
      <w:r>
        <w:t xml:space="preserve">“</w:t>
      </w:r>
      <w:r>
        <w:t xml:space="preserve">W</w:t>
      </w:r>
      <w:r>
        <w:t xml:space="preserve">”</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w:t>
      </w:r>
      <w:r>
        <w:t xml:space="preserve">C</w:t>
      </w:r>
      <w:r>
        <w:t xml:space="preserve">”</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w:t>
      </w:r>
      <w:r>
        <w:t xml:space="preserve">Upper division</w:t>
      </w:r>
      <w:r>
        <w:t xml:space="preserve">”</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w:t>
      </w:r>
      <w:r>
        <w:t xml:space="preserve">C</w:t>
      </w:r>
      <w:r>
        <w:t xml:space="preserve">”</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w:t>
      </w:r>
      <w:r>
        <w:t xml:space="preserve">Discovery</w:t>
      </w:r>
      <w:r>
        <w:t xml:space="preserve">”</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w:t>
      </w:r>
      <w:r>
        <w:t xml:space="preserve">Graduating with Distinction Form</w:t>
      </w:r>
      <w:r>
        <w:t xml:space="preserve">”</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w:t>
      </w:r>
      <w:r>
        <w:t xml:space="preserve">Dean’s List</w:t>
      </w:r>
      <w:r>
        <w:t xml:space="preserve">”</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w:t>
      </w:r>
      <w:r>
        <w:t xml:space="preserve">open house</w:t>
      </w:r>
      <w:r>
        <w:t xml:space="preserve">”</w:t>
      </w:r>
      <w:r>
        <w:t xml:space="preserve"> </w:t>
      </w:r>
      <w:r>
        <w:t xml:space="preserve">for students, faculty, and visitors.</w:t>
      </w:r>
      <w:r>
        <w:t xml:space="preserve"> </w:t>
      </w:r>
      <w:r>
        <w:t xml:space="preserve">“</w:t>
      </w:r>
      <w:r>
        <w:t xml:space="preserve">Charlie’s,</w:t>
      </w:r>
      <w:r>
        <w:t xml:space="preserve">”</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jc w:val="left"/>
            </w:pPr>
            <w:r>
              <w:t xml:space="preserve">A</w:t>
            </w:r>
          </w:p>
        </w:tc>
        <w:tc>
          <w:tcPr/>
          <w:p>
            <w:pPr>
              <w:pStyle w:val="Compact"/>
              <w:jc w:val="left"/>
            </w:pPr>
            <w:r>
              <w:t xml:space="preserve">Excellent</w:t>
            </w:r>
          </w:p>
        </w:tc>
        <w:tc>
          <w:tcPr/>
          <w:p>
            <w:pPr>
              <w:pStyle w:val="Compact"/>
              <w:jc w:val="left"/>
            </w:pPr>
            <w:r>
              <w:t xml:space="preserve">4.0 grade points per course credit</w:t>
            </w:r>
          </w:p>
        </w:tc>
      </w:tr>
      <w:tr>
        <w:tc>
          <w:tcPr/>
          <w:p>
            <w:pPr>
              <w:pStyle w:val="Compact"/>
              <w:jc w:val="left"/>
            </w:pPr>
            <w:r>
              <w:t xml:space="preserve">A-</w:t>
            </w:r>
          </w:p>
        </w:tc>
        <w:tc>
          <w:tcPr/>
          <w:p>
            <w:pPr>
              <w:pStyle w:val="Compact"/>
            </w:pPr>
          </w:p>
        </w:tc>
        <w:tc>
          <w:tcPr/>
          <w:p>
            <w:pPr>
              <w:pStyle w:val="Compact"/>
              <w:jc w:val="left"/>
            </w:pPr>
            <w:r>
              <w:t xml:space="preserve">3.7 grade points per course credit</w:t>
            </w:r>
          </w:p>
        </w:tc>
      </w:tr>
      <w:tr>
        <w:tc>
          <w:tcPr/>
          <w:p>
            <w:pPr>
              <w:pStyle w:val="Compact"/>
              <w:jc w:val="left"/>
            </w:pPr>
            <w:r>
              <w:t xml:space="preserve">B+</w:t>
            </w:r>
          </w:p>
        </w:tc>
        <w:tc>
          <w:tcPr/>
          <w:p>
            <w:pPr>
              <w:pStyle w:val="Compact"/>
            </w:pPr>
          </w:p>
        </w:tc>
        <w:tc>
          <w:tcPr/>
          <w:p>
            <w:pPr>
              <w:pStyle w:val="Compact"/>
              <w:jc w:val="left"/>
            </w:pPr>
            <w:r>
              <w:t xml:space="preserve">3.3 grade points per course credit</w:t>
            </w:r>
          </w:p>
        </w:tc>
      </w:tr>
      <w:tr>
        <w:tc>
          <w:tcPr/>
          <w:p>
            <w:pPr>
              <w:pStyle w:val="Compact"/>
              <w:jc w:val="left"/>
            </w:pPr>
            <w:r>
              <w:t xml:space="preserve">B</w:t>
            </w:r>
          </w:p>
        </w:tc>
        <w:tc>
          <w:tcPr/>
          <w:p>
            <w:pPr>
              <w:pStyle w:val="Compact"/>
              <w:jc w:val="left"/>
            </w:pPr>
            <w:r>
              <w:t xml:space="preserve">Above average</w:t>
            </w:r>
          </w:p>
        </w:tc>
        <w:tc>
          <w:tcPr/>
          <w:p>
            <w:pPr>
              <w:pStyle w:val="Compact"/>
              <w:jc w:val="left"/>
            </w:pPr>
            <w:r>
              <w:t xml:space="preserve">3.0 grade points per course credit</w:t>
            </w:r>
          </w:p>
        </w:tc>
      </w:tr>
      <w:tr>
        <w:tc>
          <w:tcPr/>
          <w:p>
            <w:pPr>
              <w:pStyle w:val="Compact"/>
              <w:jc w:val="left"/>
            </w:pPr>
            <w:r>
              <w:t xml:space="preserve">B-</w:t>
            </w:r>
          </w:p>
        </w:tc>
        <w:tc>
          <w:tcPr/>
          <w:p>
            <w:pPr>
              <w:pStyle w:val="Compact"/>
            </w:pPr>
          </w:p>
        </w:tc>
        <w:tc>
          <w:tcPr/>
          <w:p>
            <w:pPr>
              <w:pStyle w:val="Compact"/>
              <w:jc w:val="left"/>
            </w:pPr>
            <w:r>
              <w:t xml:space="preserve">2.7 grade points per course credit</w:t>
            </w:r>
          </w:p>
        </w:tc>
      </w:tr>
      <w:tr>
        <w:tc>
          <w:tcPr/>
          <w:p>
            <w:pPr>
              <w:pStyle w:val="Compact"/>
              <w:jc w:val="left"/>
            </w:pPr>
            <w:r>
              <w:t xml:space="preserve">C+</w:t>
            </w:r>
          </w:p>
        </w:tc>
        <w:tc>
          <w:tcPr/>
          <w:p>
            <w:pPr>
              <w:pStyle w:val="Compact"/>
            </w:pPr>
          </w:p>
        </w:tc>
        <w:tc>
          <w:tcPr/>
          <w:p>
            <w:pPr>
              <w:pStyle w:val="Compact"/>
              <w:jc w:val="left"/>
            </w:pPr>
            <w:r>
              <w:t xml:space="preserve">2.3 grade points per course credit</w:t>
            </w:r>
          </w:p>
        </w:tc>
      </w:tr>
      <w:tr>
        <w:tc>
          <w:tcPr/>
          <w:p>
            <w:pPr>
              <w:pStyle w:val="Compact"/>
              <w:jc w:val="left"/>
            </w:pPr>
            <w:r>
              <w:t xml:space="preserve">C</w:t>
            </w:r>
          </w:p>
        </w:tc>
        <w:tc>
          <w:tcPr/>
          <w:p>
            <w:pPr>
              <w:pStyle w:val="Compact"/>
              <w:jc w:val="left"/>
            </w:pPr>
            <w:r>
              <w:t xml:space="preserve">Satisfactory, minimum expectation credit</w:t>
            </w:r>
          </w:p>
        </w:tc>
        <w:tc>
          <w:tcPr/>
          <w:p>
            <w:pPr>
              <w:pStyle w:val="Compact"/>
              <w:jc w:val="left"/>
            </w:pPr>
            <w:r>
              <w:t xml:space="preserve">2.0 grade points per course credit</w:t>
            </w:r>
          </w:p>
        </w:tc>
      </w:tr>
      <w:tr>
        <w:tc>
          <w:tcPr/>
          <w:p>
            <w:pPr>
              <w:pStyle w:val="Compact"/>
              <w:jc w:val="left"/>
            </w:pPr>
            <w:r>
              <w:t xml:space="preserve">C-</w:t>
            </w:r>
          </w:p>
        </w:tc>
        <w:tc>
          <w:tcPr/>
          <w:p>
            <w:pPr>
              <w:pStyle w:val="Compact"/>
            </w:pPr>
          </w:p>
        </w:tc>
        <w:tc>
          <w:tcPr/>
          <w:p>
            <w:pPr>
              <w:pStyle w:val="Compact"/>
              <w:jc w:val="left"/>
            </w:pPr>
            <w:r>
              <w:t xml:space="preserve">1.7 grade points per course credit</w:t>
            </w:r>
          </w:p>
        </w:tc>
      </w:tr>
      <w:tr>
        <w:tc>
          <w:tcPr/>
          <w:p>
            <w:pPr>
              <w:pStyle w:val="Compact"/>
              <w:jc w:val="left"/>
            </w:pPr>
            <w:r>
              <w:t xml:space="preserve">D+</w:t>
            </w:r>
          </w:p>
        </w:tc>
        <w:tc>
          <w:tcPr/>
          <w:p>
            <w:pPr>
              <w:pStyle w:val="Compact"/>
            </w:pPr>
          </w:p>
        </w:tc>
        <w:tc>
          <w:tcPr/>
          <w:p>
            <w:pPr>
              <w:pStyle w:val="Compact"/>
              <w:jc w:val="left"/>
            </w:pPr>
            <w:r>
              <w:t xml:space="preserve">1.3 grade points per course credit</w:t>
            </w:r>
          </w:p>
        </w:tc>
      </w:tr>
      <w:tr>
        <w:tc>
          <w:tcPr/>
          <w:p>
            <w:pPr>
              <w:pStyle w:val="Compact"/>
              <w:jc w:val="left"/>
            </w:pPr>
            <w:r>
              <w:t xml:space="preserve">D</w:t>
            </w:r>
          </w:p>
        </w:tc>
        <w:tc>
          <w:tcPr/>
          <w:p>
            <w:pPr>
              <w:pStyle w:val="Compact"/>
              <w:jc w:val="left"/>
            </w:pPr>
            <w:r>
              <w:t xml:space="preserve">Passing, below expectation</w:t>
            </w:r>
          </w:p>
        </w:tc>
        <w:tc>
          <w:tcPr/>
          <w:p>
            <w:pPr>
              <w:pStyle w:val="Compact"/>
              <w:jc w:val="left"/>
            </w:pPr>
            <w:r>
              <w:t xml:space="preserve">1.0 grade points per course credit</w:t>
            </w:r>
          </w:p>
        </w:tc>
      </w:tr>
      <w:tr>
        <w:tc>
          <w:tcPr/>
          <w:p>
            <w:pPr>
              <w:pStyle w:val="Compact"/>
              <w:jc w:val="left"/>
            </w:pPr>
            <w:r>
              <w:t xml:space="preserve">D-</w:t>
            </w:r>
          </w:p>
        </w:tc>
        <w:tc>
          <w:tcPr/>
          <w:p>
            <w:pPr>
              <w:pStyle w:val="Compact"/>
            </w:pPr>
          </w:p>
        </w:tc>
        <w:tc>
          <w:tcPr/>
          <w:p>
            <w:pPr>
              <w:pStyle w:val="Compact"/>
              <w:jc w:val="left"/>
            </w:pPr>
            <w:r>
              <w:t xml:space="preserve">0.7 grade points per course credit</w:t>
            </w:r>
          </w:p>
        </w:tc>
      </w:tr>
      <w:tr>
        <w:tc>
          <w:tcPr/>
          <w:p>
            <w:pPr>
              <w:pStyle w:val="Compact"/>
              <w:jc w:val="left"/>
            </w:pPr>
            <w:r>
              <w:t xml:space="preserve">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WF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P</w:t>
            </w:r>
          </w:p>
        </w:tc>
        <w:tc>
          <w:tcPr/>
          <w:p>
            <w:pPr>
              <w:pStyle w:val="Compact"/>
              <w:jc w:val="left"/>
            </w:pPr>
            <w:r>
              <w:t xml:space="preserve">Pass</w:t>
            </w:r>
          </w:p>
        </w:tc>
        <w:tc>
          <w:tcPr/>
          <w:p>
            <w:pPr>
              <w:pStyle w:val="Compact"/>
              <w:jc w:val="left"/>
            </w:pPr>
            <w:r>
              <w:t xml:space="preserve">Credit awarded, no grade points given</w:t>
            </w:r>
          </w:p>
        </w:tc>
      </w:tr>
      <w:tr>
        <w:tc>
          <w:tcPr/>
          <w:p>
            <w:pPr>
              <w:pStyle w:val="Compact"/>
              <w:jc w:val="left"/>
            </w:pPr>
            <w:r>
              <w:t xml:space="preserve">NP</w:t>
            </w:r>
          </w:p>
        </w:tc>
        <w:tc>
          <w:tcPr/>
          <w:p>
            <w:pPr>
              <w:pStyle w:val="Compact"/>
              <w:jc w:val="left"/>
            </w:pPr>
            <w:r>
              <w:t xml:space="preserve">Not Pass</w:t>
            </w:r>
          </w:p>
        </w:tc>
        <w:tc>
          <w:tcPr/>
          <w:p>
            <w:pPr>
              <w:pStyle w:val="Compact"/>
              <w:jc w:val="lef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w:t>
      </w:r>
      <w:r>
        <w:t xml:space="preserve">X</w:t>
      </w:r>
      <w:r>
        <w:t xml:space="preserve">”</w:t>
      </w:r>
      <w:r>
        <w:t xml:space="preserve"> </w:t>
      </w:r>
      <w:r>
        <w:t xml:space="preserve">status grade is given in courses designated in the Catalog as having coursework that extends beyond the end of the term. Under no circumstances can an</w:t>
      </w:r>
      <w:r>
        <w:t xml:space="preserve"> </w:t>
      </w:r>
      <w:r>
        <w:t xml:space="preserve">“</w:t>
      </w:r>
      <w:r>
        <w:t xml:space="preserve">X</w:t>
      </w:r>
      <w:r>
        <w:t xml:space="preserve">”</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w:t>
      </w:r>
      <w:r>
        <w:t xml:space="preserve">I</w:t>
      </w:r>
      <w:r>
        <w:t xml:space="preserve">”</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w:t>
      </w:r>
      <w:r>
        <w:t xml:space="preserve">I</w:t>
      </w:r>
      <w:r>
        <w:t xml:space="preserve">”</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w:t>
      </w:r>
      <w:r>
        <w:t xml:space="preserve">R</w:t>
      </w:r>
      <w:r>
        <w:t xml:space="preserve">”</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w:t>
      </w:r>
      <w:r>
        <w:t xml:space="preserve">EQ.</w:t>
      </w:r>
      <w:r>
        <w:t xml:space="preserve">”</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t>
      </w:r>
      <w:r>
        <w:t xml:space="preserve">W</w:t>
      </w:r>
      <w:r>
        <w:t xml:space="preserve">”</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t>
      </w:r>
      <w:r>
        <w:t xml:space="preserve">W</w:t>
      </w:r>
      <w:r>
        <w:t xml:space="preserve">”</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t>
      </w:r>
      <w:r>
        <w:t xml:space="preserve">W</w:t>
      </w:r>
      <w:r>
        <w:t xml:space="preserve">”</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t>
      </w:r>
      <w:r>
        <w:t xml:space="preserve">WF</w:t>
      </w:r>
      <w:r>
        <w:t xml:space="preserve">”</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l.50</w:t>
            </w:r>
          </w:p>
        </w:tc>
      </w:tr>
      <w:tr>
        <w:tc>
          <w:tcPr/>
          <w:p>
            <w:pPr>
              <w:pStyle w:val="Compact"/>
              <w:jc w:val="left"/>
            </w:pPr>
            <w:r>
              <w:t xml:space="preserve">5.0 – 7.9</w:t>
            </w:r>
          </w:p>
        </w:tc>
        <w:tc>
          <w:tcPr/>
          <w:p>
            <w:pPr>
              <w:pStyle w:val="Compact"/>
              <w:jc w:val="left"/>
            </w:pPr>
            <w:r>
              <w:t xml:space="preserve">l.75</w:t>
            </w:r>
          </w:p>
        </w:tc>
      </w:tr>
      <w:tr>
        <w:tc>
          <w:tcPr/>
          <w:p>
            <w:pPr>
              <w:pStyle w:val="Compact"/>
              <w:jc w:val="left"/>
            </w:pPr>
            <w:r>
              <w:t xml:space="preserve">8.0 – 11.9</w:t>
            </w:r>
          </w:p>
        </w:tc>
        <w:tc>
          <w:tcPr/>
          <w:p>
            <w:pPr>
              <w:pStyle w:val="Compact"/>
              <w:jc w:val="left"/>
            </w:pPr>
            <w:r>
              <w:t xml:space="preserve">1.80</w:t>
            </w:r>
          </w:p>
        </w:tc>
      </w:tr>
      <w:tr>
        <w:tc>
          <w:tcPr/>
          <w:p>
            <w:pPr>
              <w:pStyle w:val="Compact"/>
              <w:jc w:val="left"/>
            </w:pPr>
            <w:r>
              <w:t xml:space="preserve">12.0 – 15.9</w:t>
            </w:r>
          </w:p>
        </w:tc>
        <w:tc>
          <w:tcPr/>
          <w:p>
            <w:pPr>
              <w:pStyle w:val="Compact"/>
              <w:jc w:val="left"/>
            </w:pPr>
            <w:r>
              <w:t xml:space="preserve">1.90</w:t>
            </w:r>
          </w:p>
        </w:tc>
      </w:tr>
      <w:tr>
        <w:tc>
          <w:tcPr/>
          <w:p>
            <w:pPr>
              <w:pStyle w:val="Compact"/>
              <w:jc w:val="left"/>
            </w:pPr>
            <w:r>
              <w:t xml:space="preserve">16.0+</w:t>
            </w:r>
          </w:p>
        </w:tc>
        <w:tc>
          <w:tcPr/>
          <w:p>
            <w:pPr>
              <w:pStyle w:val="Compact"/>
              <w:jc w:val="lef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0.50</w:t>
            </w:r>
          </w:p>
        </w:tc>
      </w:tr>
      <w:tr>
        <w:tc>
          <w:tcPr/>
          <w:p>
            <w:pPr>
              <w:pStyle w:val="Compact"/>
              <w:jc w:val="left"/>
            </w:pPr>
            <w:r>
              <w:t xml:space="preserve">5.0 – 7.9</w:t>
            </w:r>
          </w:p>
        </w:tc>
        <w:tc>
          <w:tcPr/>
          <w:p>
            <w:pPr>
              <w:pStyle w:val="Compact"/>
              <w:jc w:val="left"/>
            </w:pPr>
            <w:r>
              <w:t xml:space="preserve">l.00</w:t>
            </w:r>
          </w:p>
        </w:tc>
      </w:tr>
      <w:tr>
        <w:tc>
          <w:tcPr/>
          <w:p>
            <w:pPr>
              <w:pStyle w:val="Compact"/>
              <w:jc w:val="left"/>
            </w:pPr>
            <w:r>
              <w:t xml:space="preserve">8.0 – 11.9</w:t>
            </w:r>
          </w:p>
        </w:tc>
        <w:tc>
          <w:tcPr/>
          <w:p>
            <w:pPr>
              <w:pStyle w:val="Compact"/>
              <w:jc w:val="left"/>
            </w:pPr>
            <w:r>
              <w:t xml:space="preserve">1.50</w:t>
            </w:r>
          </w:p>
        </w:tc>
      </w:tr>
      <w:tr>
        <w:tc>
          <w:tcPr/>
          <w:p>
            <w:pPr>
              <w:pStyle w:val="Compact"/>
              <w:jc w:val="left"/>
            </w:pPr>
            <w:r>
              <w:t xml:space="preserve">12.0 – 15.9</w:t>
            </w:r>
          </w:p>
        </w:tc>
        <w:tc>
          <w:tcPr/>
          <w:p>
            <w:pPr>
              <w:pStyle w:val="Compact"/>
              <w:jc w:val="left"/>
            </w:pPr>
            <w:r>
              <w:t xml:space="preserve">1.70</w:t>
            </w:r>
          </w:p>
        </w:tc>
      </w:tr>
      <w:tr>
        <w:tc>
          <w:tcPr/>
          <w:p>
            <w:pPr>
              <w:pStyle w:val="Compact"/>
              <w:jc w:val="left"/>
            </w:pPr>
            <w:r>
              <w:t xml:space="preserve">16.0 – 19.9</w:t>
            </w:r>
          </w:p>
        </w:tc>
        <w:tc>
          <w:tcPr/>
          <w:p>
            <w:pPr>
              <w:pStyle w:val="Compact"/>
              <w:jc w:val="left"/>
            </w:pPr>
            <w:r>
              <w:t xml:space="preserve">1.80</w:t>
            </w:r>
          </w:p>
        </w:tc>
      </w:tr>
      <w:tr>
        <w:tc>
          <w:tcPr/>
          <w:p>
            <w:pPr>
              <w:pStyle w:val="Compact"/>
              <w:jc w:val="left"/>
            </w:pPr>
            <w:r>
              <w:t xml:space="preserve">20.0 – 23.9</w:t>
            </w:r>
          </w:p>
        </w:tc>
        <w:tc>
          <w:tcPr/>
          <w:p>
            <w:pPr>
              <w:pStyle w:val="Compact"/>
              <w:jc w:val="left"/>
            </w:pPr>
            <w:r>
              <w:t xml:space="preserve">1.90</w:t>
            </w:r>
          </w:p>
        </w:tc>
      </w:tr>
      <w:tr>
        <w:tc>
          <w:tcPr/>
          <w:p>
            <w:pPr>
              <w:pStyle w:val="Compact"/>
              <w:jc w:val="left"/>
            </w:pPr>
            <w:r>
              <w:t xml:space="preserve">24 +</w:t>
            </w:r>
          </w:p>
        </w:tc>
        <w:tc>
          <w:tcPr/>
          <w:p>
            <w:pPr>
              <w:pStyle w:val="Compact"/>
              <w:jc w:val="lef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and</w:t>
      </w:r>
      <w:r>
        <w:t xml:space="preserve"> </w:t>
      </w:r>
      <w:r>
        <w:t xml:space="preserve">“</w:t>
      </w:r>
      <w:r>
        <w:t xml:space="preserve">Readmission of Service Member</w:t>
      </w:r>
      <w:r>
        <w:t xml:space="preserve">”</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w:t>
      </w:r>
      <w:r>
        <w:t xml:space="preserve">C</w:t>
      </w:r>
      <w:r>
        <w:t xml:space="preserve">”</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w:t>
      </w:r>
      <w:r>
        <w:t xml:space="preserve">race</w:t>
      </w:r>
      <w:r>
        <w:t xml:space="preserv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w:t>
      </w:r>
      <w:r>
        <w:t xml:space="preserve">sign.</w:t>
      </w:r>
      <w:r>
        <w:t xml:space="preserve">”</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w:t>
      </w:r>
      <w:r>
        <w:t xml:space="preserve">hands on</w:t>
      </w:r>
      <w:r>
        <w:t xml:space="preserve">”</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w:t>
      </w:r>
      <w:r>
        <w:t xml:space="preserve">S</w:t>
      </w:r>
      <w:r>
        <w:t xml:space="preserve">”</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w:t>
      </w:r>
      <w:r>
        <w:t xml:space="preserve">small business</w:t>
      </w:r>
      <w:r>
        <w:t xml:space="preserve">”</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w:t>
      </w:r>
      <w:r>
        <w:t xml:space="preserve">C–</w:t>
      </w:r>
      <w:r>
        <w:t xml:space="preserve">”</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w:t>
      </w:r>
      <w:r>
        <w:t xml:space="preserve">C</w:t>
      </w:r>
      <w:r>
        <w:t xml:space="preserve">”</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w:t>
      </w:r>
      <w:r>
        <w:t xml:space="preserve">specials</w:t>
      </w:r>
      <w:r>
        <w:t xml:space="preserve">”</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w:t>
      </w:r>
      <w:r>
        <w:t xml:space="preserve">C</w:t>
      </w:r>
      <w:r>
        <w:t xml:space="preserve">”</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w:t>
      </w:r>
      <w:r>
        <w:t xml:space="preserve">C</w:t>
      </w:r>
      <w:r>
        <w:t xml:space="preserve">”</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w:t>
      </w:r>
      <w:r>
        <w:t xml:space="preserve">C</w:t>
      </w:r>
      <w:r>
        <w:t xml:space="preserve">”</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w:t>
      </w:r>
      <w:r>
        <w:t xml:space="preserve">C</w:t>
      </w:r>
      <w:r>
        <w:t xml:space="preserve">”</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w:t>
      </w:r>
      <w:r>
        <w:t xml:space="preserve">shall acquire a core of liberal arts knowledge including, but not limited to, English composition, mathematics, natural sciences, social sciences, and humanities.</w:t>
      </w:r>
      <w:r>
        <w:t xml:space="preserve">”</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w:t>
      </w:r>
      <w:r>
        <w:t xml:space="preserve">C</w:t>
      </w:r>
      <w:r>
        <w:t xml:space="preserve">”</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br/>
      </w:r>
      <w:r>
        <w:t xml:space="preserve">BIO 445/445L Environmental Microbiology and Lab</w:t>
      </w:r>
    </w:p>
    <w:p>
      <w:pPr>
        <w:pStyle w:val="Compact"/>
        <w:numPr>
          <w:ilvl w:val="0"/>
          <w:numId w:val="1156"/>
        </w:numPr>
      </w:pPr>
      <w:r>
        <w:t xml:space="preserve">BIO 295/295L Spatial Ecology and Laboratory (WE)</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155/155L Organismal and Ecological Biology and Laboratory (WE)</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295/295L Spatial Ecology and Laboratory (WE)</w:t>
      </w:r>
      <w:r>
        <w:br/>
      </w:r>
      <w:r>
        <w:t xml:space="preserve">CHM 103/103L Selected Concepts in Chemistry and Laboratory</w:t>
      </w:r>
      <w:r>
        <w:t xml:space="preserve"> </w:t>
      </w:r>
      <w:r>
        <w:rPr>
          <w:b/>
          <w:bCs/>
        </w:rPr>
        <w:t xml:space="preserve">OR</w:t>
      </w:r>
      <w:r>
        <w:t xml:space="preserve"> </w:t>
      </w:r>
      <w:r>
        <w:t xml:space="preserve">CHM 121/121L General Chemistry I and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FRE 199 May Term in the Francophone World</w:t>
      </w:r>
      <w:r>
        <w:br/>
      </w:r>
      <w:r>
        <w:t xml:space="preserve">Explores the history, culture, and arts in a site within the francophone world. Sites and topics vary by term. May count toward a major or minor if completed in French. Prerequisite: consent of instructor. (Offered May Term only)</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w:t>
      </w:r>
      <w:r>
        <w:t xml:space="preserve">la francophonie</w:t>
      </w:r>
      <w:r>
        <w:t xml:space="preserv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w:t>
      </w:r>
      <w:r>
        <w:t xml:space="preserve">Discovery</w:t>
      </w:r>
      <w:r>
        <w:t xml:space="preserve">”</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w:t>
      </w:r>
      <w:r>
        <w:t xml:space="preserve">miracles;</w:t>
      </w:r>
      <w:r>
        <w:t xml:space="preserve">”</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w:t>
      </w:r>
      <w:r>
        <w:t xml:space="preserve">Indian wars,</w:t>
      </w:r>
      <w:r>
        <w:t xml:space="preserve">”</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w:t>
      </w:r>
      <w:r>
        <w:rPr>
          <w:b/>
          <w:bCs/>
        </w:rPr>
        <w:t xml:space="preserve">Discovery</w:t>
      </w:r>
      <w:r>
        <w:rPr>
          <w:b/>
          <w:bCs/>
        </w:rPr>
        <w:t xml:space="preserve">”</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w:t>
      </w:r>
      <w:r>
        <w:t xml:space="preserve">Global South,</w:t>
      </w:r>
      <w:r>
        <w:t xml:space="preserve">”</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ANT 286/486 Topics in Anthropology (WE)</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ANT 286/486 Topics in Anthropology (WE)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BIO 215/215L Human Anatomy and Laboratory</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KIN 100/102/103/104 Physical Education Activities</w:t>
      </w:r>
      <w:r>
        <w:br/>
      </w:r>
      <w:r>
        <w:t xml:space="preserve">Badminton, weight training, volleyball, physical fitness, recreational sports, gymnastics, swimming, squash, rock climbing, scuba diving, dance, jogging, racquetball, archery, tennis, handball, golf, cycling, and ballroom dancing investigated in depth through history, rules, strategy, development of playing skill, and physical conditioning. No course may be taken more than once. (0.2 course credit per activity)</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BIO 345/345L Techniques in Molecular Biology and Laboratory</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CHM 431/431L Biochemistry and Laboratory</w:t>
      </w:r>
    </w:p>
    <w:p>
      <w:pPr>
        <w:pStyle w:val="Compact"/>
        <w:numPr>
          <w:ilvl w:val="1"/>
          <w:numId w:val="1215"/>
        </w:numPr>
      </w:pPr>
      <w:r>
        <w:t xml:space="preserve">CHM 432/432L Protein Biochemistry and Laboratory</w:t>
      </w:r>
    </w:p>
    <w:p>
      <w:pPr>
        <w:pStyle w:val="Compact"/>
        <w:numPr>
          <w:ilvl w:val="0"/>
          <w:numId w:val="1214"/>
        </w:numPr>
      </w:pPr>
      <w:r>
        <w:t xml:space="preserve">One of the following sequences:</w:t>
      </w:r>
    </w:p>
    <w:p>
      <w:pPr>
        <w:pStyle w:val="Compact"/>
        <w:numPr>
          <w:ilvl w:val="1"/>
          <w:numId w:val="1216"/>
        </w:numPr>
      </w:pPr>
      <w:r>
        <w:t xml:space="preserve">BIO 325/325L Microbiology (WE) and Laboratory</w:t>
      </w:r>
    </w:p>
    <w:p>
      <w:pPr>
        <w:pStyle w:val="Compact"/>
        <w:numPr>
          <w:ilvl w:val="1"/>
          <w:numId w:val="1216"/>
        </w:numPr>
      </w:pPr>
      <w:r>
        <w:t xml:space="preserve">BIO 415/415L Developmental Biology and Laboratory</w:t>
      </w:r>
    </w:p>
    <w:p>
      <w:pPr>
        <w:pStyle w:val="Compact"/>
        <w:numPr>
          <w:ilvl w:val="1"/>
          <w:numId w:val="1216"/>
        </w:numPr>
      </w:pPr>
      <w:r>
        <w:t xml:space="preserve">BIO 435/435L Cell Physiology and Laboratory</w:t>
      </w:r>
    </w:p>
    <w:p>
      <w:pPr>
        <w:pStyle w:val="Compact"/>
        <w:numPr>
          <w:ilvl w:val="1"/>
          <w:numId w:val="1216"/>
        </w:numPr>
      </w:pPr>
      <w:r>
        <w:t xml:space="preserve">BIO 455/455L Molecular Neurobiology and Laboratory</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PHY 165/165L Basic Physics I &amp; Laboratory and PHY 175/175L Basic Physics II &amp; Laboratory</w:t>
      </w:r>
    </w:p>
    <w:p>
      <w:pPr>
        <w:pStyle w:val="Compact"/>
        <w:numPr>
          <w:ilvl w:val="1"/>
          <w:numId w:val="1218"/>
        </w:numPr>
      </w:pPr>
      <w:r>
        <w:t xml:space="preserve">PHY 185/185L General Physics I &amp; Laboratory and PHY 195/195L General Physics II &amp; Laboratory</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w:t>
      </w:r>
      <w:r>
        <w:t xml:space="preserve">C</w:t>
      </w:r>
      <w:r>
        <w:t xml:space="preserve">”</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MU 166/284 Topics in Music</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MUA 413 Orchestration</w:t>
      </w:r>
    </w:p>
    <w:p>
      <w:pPr>
        <w:pStyle w:val="Compact"/>
        <w:numPr>
          <w:ilvl w:val="2"/>
          <w:numId w:val="1223"/>
        </w:numPr>
      </w:pPr>
      <w:r>
        <w:t xml:space="preserve">MUA 423 Saxophone (Adv Std)</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MU 166/284 Topics in Music</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w:t>
      </w:r>
      <w:r>
        <w:t xml:space="preserve">shall acquire a core of liberal arts knowledge including, but not limited to, mathematics, natural sciences, social sciences, and humanities.</w:t>
      </w:r>
      <w:r>
        <w:t xml:space="preserve">”</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MUA 134V Vocal Pedagogy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MU 166/284 Topics in Music</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BIO 145/145L Cellular and Molecular Biology and Laboratory (WE)</w:t>
      </w:r>
    </w:p>
    <w:p>
      <w:pPr>
        <w:pStyle w:val="Compact"/>
        <w:numPr>
          <w:ilvl w:val="0"/>
          <w:numId w:val="1263"/>
        </w:numPr>
      </w:pPr>
      <w:r>
        <w:t xml:space="preserve">BIO 155/155L Organismal and Ecological Biology and Laboratory (WE)</w:t>
      </w:r>
    </w:p>
    <w:p>
      <w:pPr>
        <w:pStyle w:val="Compact"/>
        <w:numPr>
          <w:ilvl w:val="0"/>
          <w:numId w:val="1263"/>
        </w:numPr>
      </w:pPr>
      <w:r>
        <w:t xml:space="preserve">BIO 375/375L Integrated Human Physiology and Laboratory</w:t>
      </w:r>
    </w:p>
    <w:p>
      <w:pPr>
        <w:pStyle w:val="Compact"/>
        <w:numPr>
          <w:ilvl w:val="0"/>
          <w:numId w:val="1263"/>
        </w:numPr>
      </w:pPr>
      <w:r>
        <w:t xml:space="preserve">CHM 121/121L General Chemistry I and Laboratory</w:t>
      </w:r>
    </w:p>
    <w:p>
      <w:pPr>
        <w:pStyle w:val="Compact"/>
        <w:numPr>
          <w:ilvl w:val="0"/>
          <w:numId w:val="1263"/>
        </w:numPr>
      </w:pPr>
      <w:r>
        <w:t xml:space="preserve">CHM 122/122L General Chemistry II and Laboratory</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BIO 285/285L Animal Behavior and Laboratory</w:t>
      </w:r>
    </w:p>
    <w:p>
      <w:pPr>
        <w:pStyle w:val="Compact"/>
        <w:numPr>
          <w:ilvl w:val="2"/>
          <w:numId w:val="1265"/>
        </w:numPr>
      </w:pPr>
      <w:r>
        <w:t xml:space="preserve">BIO 345/345L Techniques in Molecular Biology and Laboratory</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BIO 455/455L Molecular Neurobiology and Laboratory</w:t>
      </w:r>
    </w:p>
    <w:p>
      <w:pPr>
        <w:pStyle w:val="Compact"/>
        <w:numPr>
          <w:ilvl w:val="1"/>
          <w:numId w:val="1264"/>
        </w:numPr>
      </w:pPr>
      <w:r>
        <w:t xml:space="preserve">Chemistry</w:t>
      </w:r>
    </w:p>
    <w:p>
      <w:pPr>
        <w:pStyle w:val="Compact"/>
        <w:numPr>
          <w:ilvl w:val="2"/>
          <w:numId w:val="1266"/>
        </w:numPr>
      </w:pPr>
      <w:r>
        <w:t xml:space="preserve">CHM 211/211L Analytical Chemistry and Laboratory (WE)</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CHM 431/431L Biochemistry and Laboratory</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PSY 325/325L Health Psychology and Laboratory (WE)</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PHY 464/474 Junior-Senior Seminar I and II</w:t>
      </w:r>
      <w:r>
        <w:br/>
      </w:r>
      <w:r>
        <w:t xml:space="preserve">Presentations and discussions of advanced topics unavailable through the regular catalog offerings, and appropriate to students enrolled. Prerequisite: Modern Physics (PHY-235) or consent of instructor.</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w:t>
      </w:r>
      <w:r>
        <w:t xml:space="preserve">practical politics,</w:t>
      </w:r>
      <w:r>
        <w:t xml:space="preserve">”</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t>
      </w:r>
      <w:r>
        <w:t xml:space="preserve">wave</w:t>
      </w:r>
      <w:r>
        <w:t xml:space="preser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w:t>
      </w:r>
      <w:r>
        <w:t xml:space="preserve">texts</w:t>
      </w:r>
      <w:r>
        <w:t xml:space="preserve">”</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SOC 235 Methods of Sociological Research</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w:t>
      </w:r>
      <w:r>
        <w:t xml:space="preserve">human rights</w:t>
      </w:r>
      <w:r>
        <w:t xml:space="preserve">”</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w:t>
      </w:r>
      <w:r>
        <w:t xml:space="preserve">families</w:t>
      </w:r>
      <w:r>
        <w:t xml:space="preserve">”</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w:t>
      </w:r>
      <w:r>
        <w:t xml:space="preserve">race</w:t>
      </w:r>
      <w:r>
        <w:t xml:space="preserve">’</w:t>
      </w:r>
      <w:r>
        <w:t xml:space="preserve"> </w:t>
      </w:r>
      <w:r>
        <w:t xml:space="preserve">over time; second, we will explore the intersections of</w:t>
      </w:r>
      <w:r>
        <w:t xml:space="preserve"> </w:t>
      </w:r>
      <w:r>
        <w:t xml:space="preserve">‘</w:t>
      </w:r>
      <w:r>
        <w:t xml:space="preserve">race</w:t>
      </w:r>
      <w:r>
        <w:t xml:space="preserve">’</w:t>
      </w:r>
      <w:r>
        <w:t xml:space="preserve"> </w:t>
      </w:r>
      <w:r>
        <w:t xml:space="preserve">with ethnicity, gender, class, and sexuality. Students will examine these via in-depth evaluations of the following topics: the historical emergence of</w:t>
      </w:r>
      <w:r>
        <w:t xml:space="preserve"> </w:t>
      </w:r>
      <w:r>
        <w:t xml:space="preserve">‘</w:t>
      </w:r>
      <w:r>
        <w:t xml:space="preserve">race,</w:t>
      </w:r>
      <w:r>
        <w:t xml:space="preserv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w:t>
      </w:r>
      <w:r>
        <w:t xml:space="preserve">law</w:t>
      </w:r>
      <w:r>
        <w:t xml:space="preserve">”</w:t>
      </w:r>
      <w:r>
        <w:t xml:space="preserve"> </w:t>
      </w:r>
      <w:r>
        <w:t xml:space="preserve">and</w:t>
      </w:r>
      <w:r>
        <w:t xml:space="preserve"> </w:t>
      </w:r>
      <w:r>
        <w:t xml:space="preserve">“</w:t>
      </w:r>
      <w:r>
        <w:t xml:space="preserve">crime</w:t>
      </w:r>
      <w:r>
        <w:t xml:space="preserv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SPA 464 Capstone in Spanish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SPA 115/125 Elementary Spanish I and II</w:t>
      </w:r>
      <w:r>
        <w:br/>
      </w:r>
      <w:r>
        <w:t xml:space="preserve">Develops basic proficiencies in oral and written communication for students with no previous knowledge of Spanish. The first term emphasizes oral practice in the context of Hispanic Cultures. The second term builds upon acquired skills and includes class discussion, short reading, and writing activities. Prerequisite: appropriate Spanish Placement exam results or consent of instructor.</w:t>
      </w:r>
      <w:r>
        <w:br/>
      </w:r>
      <w:r>
        <w:rPr>
          <w:b/>
          <w:bCs/>
        </w:rPr>
        <w:t xml:space="preserve">SPA 129 Intensive Elementary Spanish I-II</w:t>
      </w:r>
      <w:r>
        <w:br/>
      </w:r>
      <w:r>
        <w:t xml:space="preserve">Offers students with no prior training a year’s worth of basic communicative skills in Spanish in a single term. Students will be introduced to beginning grammar based on a communicative and task-supported curriculum that helps them to develop skills in reading, listening, speaking, and writing in Spanish to engage in interpretive, interpersonal, and presentational modes of communication. (Offered in the summer)</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SPA 464 Capstone in Spanish</w:t>
      </w:r>
      <w:r>
        <w:br/>
      </w:r>
      <w:r>
        <w:t xml:space="preserve">Serves as the final requirement designed for Spanish majors who are graduating seniors. Students will polish a research paper written for any of the advanced classes in a previous semester. They will demonstrate the skills acquired throughout the major, such as: critical reading and writing, textual analysis, and original thinking regarding a historical and cultural topic related to Latin America and/or Spain. At the end of the course, students should present their research work on a conference-like panel open to the public. (Offered every spring)</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w:t>
      </w:r>
      <w:r>
        <w:t xml:space="preserve">philosophy translated into a technique for training performers, building ensemble and creating movement for the stage.</w:t>
      </w:r>
      <w:r>
        <w:t xml:space="preserve">”</w:t>
      </w:r>
      <w:r>
        <w:t xml:space="preserve"> </w:t>
      </w:r>
      <w:r>
        <w:t xml:space="preserve">Students working within a group dynamic learn to access acutely their centers of awareness and intensify their ability to work in the</w:t>
      </w:r>
      <w:r>
        <w:t xml:space="preserve"> </w:t>
      </w:r>
      <w:r>
        <w:t xml:space="preserve">“</w:t>
      </w:r>
      <w:r>
        <w:t xml:space="preserve">here and now.</w:t>
      </w:r>
      <w:r>
        <w:t xml:space="preserve">”</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w:t>
      </w:r>
      <w:r>
        <w:t xml:space="preserve">objectives</w:t>
      </w:r>
      <w:r>
        <w:t xml:space="preserve">”</w:t>
      </w:r>
      <w:r>
        <w:t xml:space="preserve"> </w:t>
      </w:r>
      <w:r>
        <w:t xml:space="preserve">and the</w:t>
      </w:r>
      <w:r>
        <w:t xml:space="preserve"> </w:t>
      </w:r>
      <w:r>
        <w:t xml:space="preserve">“</w:t>
      </w:r>
      <w:r>
        <w:t xml:space="preserve">obstacles</w:t>
      </w:r>
      <w:r>
        <w:t xml:space="preserve">”</w:t>
      </w:r>
      <w:r>
        <w:t xml:space="preserve"> </w:t>
      </w:r>
      <w:r>
        <w:t xml:space="preserve">that stand in the way of attaining them, and to engage themselves (via voice, body, mind, and spirit) in specific</w:t>
      </w:r>
      <w:r>
        <w:t xml:space="preserve"> </w:t>
      </w:r>
      <w:r>
        <w:t xml:space="preserve">“</w:t>
      </w:r>
      <w:r>
        <w:t xml:space="preserve">actions</w:t>
      </w:r>
      <w:r>
        <w:t xml:space="preserve">”</w:t>
      </w:r>
      <w:r>
        <w:t xml:space="preserve"> </w:t>
      </w:r>
      <w:r>
        <w:t xml:space="preserve">undertaken in pursuit of those identified goals. Emphasis is placed on</w:t>
      </w:r>
      <w:r>
        <w:t xml:space="preserve"> </w:t>
      </w:r>
      <w:r>
        <w:t xml:space="preserve">“</w:t>
      </w:r>
      <w:r>
        <w:t xml:space="preserve">interactive</w:t>
      </w:r>
      <w:r>
        <w:t xml:space="preser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w:t>
      </w:r>
      <w:r>
        <w:t xml:space="preserve">theatre company</w:t>
      </w:r>
      <w:r>
        <w:t xml:space="preserve">”</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w:t>
      </w:r>
      <w:r>
        <w:t xml:space="preserve">image</w:t>
      </w:r>
      <w:r>
        <w:t xml:space="preserv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t>
      </w:r>
      <w:r>
        <w:t xml:space="preserve">What now, Lieutenant?</w:t>
      </w:r>
      <w:r>
        <w:t xml:space="preserve">”</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w:t>
      </w:r>
      <w:r>
        <w:t xml:space="preserve">O</w:t>
      </w:r>
      <w:r>
        <w:t xml:space="preserve">’</w:t>
      </w:r>
      <w:r>
        <w:t xml:space="preserve"> </w:t>
      </w:r>
      <w:r>
        <w:t xml:space="preserve">levels,</w:t>
      </w:r>
      <w:r>
        <w:t xml:space="preserve"> </w:t>
      </w:r>
      <w:r>
        <w:t xml:space="preserve">‘</w:t>
      </w:r>
      <w:r>
        <w:t xml:space="preserve">A</w:t>
      </w:r>
      <w:r>
        <w:t xml:space="preserve">’</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w:t>
      </w:r>
      <w:r>
        <w:t xml:space="preserve">and</w:t>
      </w:r>
      <w:r>
        <w:t xml:space="preserve"> </w:t>
      </w:r>
      <w:r>
        <w:t xml:space="preserve">“</w:t>
      </w:r>
      <w:r>
        <w:t xml:space="preserve">Readmission of Service Member</w:t>
      </w:r>
      <w:r>
        <w:t xml:space="preserve">”</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w:t>
      </w:r>
      <w:r>
        <w:t xml:space="preserve">unofficially withdrawn</w:t>
      </w:r>
      <w:r>
        <w:t xml:space="preserve">”</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w:t>
      </w:r>
      <w:r>
        <w:t xml:space="preserve">earned</w:t>
      </w:r>
      <w:r>
        <w:t xml:space="preserve">”</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3"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International Scholarships</w:t>
      </w:r>
      <w:r>
        <w:t xml:space="preserve"> </w:t>
      </w:r>
      <w:r>
        <w:t xml:space="preserve">International students may qualify for academic or visual and performing arts scholarships.</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majors and non-majors. Additional scholarship opportunities for those majoring in music include the Marshall Full-Tuition scholarship, the Basler Vocal Music Scholarship, and the Schauwecker Scholarship.</w:t>
      </w:r>
    </w:p>
    <w:p>
      <w:pPr>
        <w:pStyle w:val="Compact"/>
        <w:numPr>
          <w:ilvl w:val="0"/>
          <w:numId w:val="1360"/>
        </w:numPr>
      </w:pPr>
      <w:r>
        <w:rPr>
          <w:b/>
          <w:bCs/>
        </w:rPr>
        <w:t xml:space="preserve">National Merit Finalists</w:t>
      </w:r>
      <w:r>
        <w:t xml:space="preserve"> </w:t>
      </w:r>
      <w:r>
        <w:t xml:space="preserve">Full-tuition scholarships are awarded for National Merit Finalists if Coe is listed as first choice of schools with the National Merit Scholarship Corporation on May 1 of the student’s senior year. National Merit awards are equal to the full-time tuition of the recipient’s entry year and renew yearly at the same rate.</w:t>
      </w:r>
    </w:p>
    <w:p>
      <w:pPr>
        <w:pStyle w:val="Compact"/>
        <w:numPr>
          <w:ilvl w:val="0"/>
          <w:numId w:val="1360"/>
        </w:numPr>
      </w:pPr>
      <w:r>
        <w:rPr>
          <w:b/>
          <w:bCs/>
        </w:rPr>
        <w:t xml:space="preserve">International Full-Tuition Scholarship</w:t>
      </w:r>
      <w:r>
        <w:t xml:space="preserve"> </w:t>
      </w:r>
      <w:r>
        <w:t xml:space="preserve">The International Full-Tuition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Distinguished Trustee Scholarship</w:t>
      </w:r>
      <w:r>
        <w:t xml:space="preserve"> </w:t>
      </w:r>
      <w:r>
        <w:t xml:space="preserve">This scholarship is awarded to high academic students with the potential to positively impact our campus.</w:t>
      </w:r>
    </w:p>
    <w:p>
      <w:pPr>
        <w:pStyle w:val="Compact"/>
        <w:numPr>
          <w:ilvl w:val="0"/>
          <w:numId w:val="1361"/>
        </w:numPr>
      </w:pPr>
      <w:r>
        <w:rPr>
          <w:b/>
          <w:bCs/>
        </w:rPr>
        <w:t xml:space="preserve">The Diversity Leadership Scholarship</w:t>
      </w:r>
      <w:r>
        <w:t xml:space="preserve"> </w:t>
      </w:r>
      <w:r>
        <w:t xml:space="preserve">Coe believes educational experience is strengthened by the inclusion of strong voices from diverse backgrounds. This scholarship is awarded to students from historically underrepresented populations.</w:t>
      </w:r>
    </w:p>
    <w:p>
      <w:pPr>
        <w:pStyle w:val="Compact"/>
        <w:numPr>
          <w:ilvl w:val="0"/>
          <w:numId w:val="1361"/>
        </w:numPr>
      </w:pPr>
      <w:r>
        <w:rPr>
          <w:b/>
          <w:bCs/>
        </w:rPr>
        <w:t xml:space="preserve">The Marshall Music Scholarship</w:t>
      </w:r>
      <w:r>
        <w:t xml:space="preserve"> </w:t>
      </w:r>
      <w:r>
        <w:t xml:space="preserve">Open to prospective students who have the motivation and background necessary to pursue the Bachelor of Music degree.</w:t>
      </w:r>
    </w:p>
    <w:p>
      <w:pPr>
        <w:pStyle w:val="Compact"/>
        <w:numPr>
          <w:ilvl w:val="0"/>
          <w:numId w:val="1361"/>
        </w:numPr>
      </w:pPr>
      <w:r>
        <w:rPr>
          <w:b/>
          <w:bCs/>
        </w:rPr>
        <w:t xml:space="preserve">The Sustainability Scholarship</w:t>
      </w:r>
      <w:r>
        <w:t xml:space="preserve"> </w:t>
      </w:r>
      <w:r>
        <w:t xml:space="preserve">This scholarship is awarded to students who show passion and concern for our environment.</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numPr>
          <w:ilvl w:val="0"/>
          <w:numId w:val="1363"/>
        </w:numPr>
      </w:pPr>
      <w:r>
        <w:rPr>
          <w:b/>
          <w:bCs/>
        </w:rPr>
        <w:t xml:space="preserve">Coe Grant</w:t>
      </w:r>
      <w:r>
        <w:t xml:space="preserve"> </w:t>
      </w:r>
      <w:r>
        <w:t xml:space="preserve">The value of a Coe Grant is influenced by a student’s financial need. The amount of the Coe Grant can vary from year to year, depending on changes in family income, room and board charges, and the availability of funding.</w:t>
      </w:r>
      <w:r>
        <w:t xml:space="preserve"> </w:t>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w:t>
      </w:r>
      <w:r>
        <w:t xml:space="preserve">Endowed Scholarship Application.</w:t>
      </w:r>
      <w:r>
        <w:t xml:space="preserve">’</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p>
    <w:p>
      <w:pPr>
        <w:numPr>
          <w:ilvl w:val="0"/>
          <w:numId w:val="1363"/>
        </w:numPr>
      </w:pPr>
      <w:r>
        <w:rPr>
          <w:b/>
          <w:bCs/>
        </w:rPr>
        <w:t xml:space="preserve">Federal Pell Grant</w:t>
      </w:r>
      <w:r>
        <w:t xml:space="preserve"> </w:t>
      </w:r>
      <w:r>
        <w:t xml:space="preserve">The Federal Pell Grant 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 At press time, the current 2022–2023 Federal Pell grants awards range from $750 up to $6,845. However, final Pell Grant amounts are subject to the federal budget process and could very well be reduced. These grants are generally available to families with modest incomes.</w:t>
      </w:r>
    </w:p>
    <w:p>
      <w:pPr>
        <w:numPr>
          <w:ilvl w:val="0"/>
          <w:numId w:val="1363"/>
        </w:numPr>
      </w:pPr>
      <w:r>
        <w:rPr>
          <w:b/>
          <w:bCs/>
        </w:rPr>
        <w:t xml:space="preserve">Federal Supplemental Educational Opportunity Grant (SEOG)</w:t>
      </w:r>
      <w:r>
        <w:t xml:space="preserve"> </w:t>
      </w:r>
      <w:r>
        <w:t xml:space="preserve">The Federal Supplemental Educational Opportunity Grant (SEOG) 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numPr>
          <w:ilvl w:val="0"/>
          <w:numId w:val="1363"/>
        </w:numPr>
      </w:pPr>
      <w:r>
        <w:rPr>
          <w:b/>
          <w:bCs/>
        </w:rPr>
        <w:t xml:space="preserve">Iowa Tuition Grant (ITG)</w:t>
      </w:r>
      <w:r>
        <w:t xml:space="preserve"> </w:t>
      </w:r>
      <w:r>
        <w:t xml:space="preserve">The Iowa Tuition Grant (ITG) is available to qualified, undergraduate Iowa residents who are enrolled at least one quarter time (one course credit) at a private college in Iowa. A student may receive the ITG for no more than eight full-time terms. The ITG is based on financial need and a FAFSA filing deadline of July 1</w:t>
      </w:r>
      <w:r>
        <w:t xml:space="preserve"> </w:t>
      </w:r>
      <w:r>
        <w:rPr>
          <w:vertAlign w:val="superscript"/>
        </w:rPr>
        <w:t xml:space="preserve">st</w:t>
      </w:r>
      <w:r>
        <w:t xml:space="preserve">.Application to receive the ITG at Coe can be made by listing Coe College on the FAFSA. For the 2021-22 academic year, students whose Expected Family Contribution (EFC) is no greater than $15,000 may qualify for a maximum full-time award of $6,800.</w:t>
      </w:r>
    </w:p>
    <w:p>
      <w:pPr>
        <w:numPr>
          <w:ilvl w:val="0"/>
          <w:numId w:val="1363"/>
        </w:numPr>
      </w:pPr>
      <w:r>
        <w:rPr>
          <w:b/>
          <w:bCs/>
        </w:rPr>
        <w:t xml:space="preserve">National Presbyterian Scholarships</w:t>
      </w:r>
      <w:r>
        <w:t xml:space="preserve"> </w:t>
      </w: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4" w:name="non-need-based-gift-aid"/>
    <w:p>
      <w:pPr>
        <w:pStyle w:val="Heading3"/>
      </w:pPr>
      <w:r>
        <w:t xml:space="preserve">29.0.5 Non-Need Based Gift Aid</w:t>
      </w:r>
    </w:p>
    <w:p>
      <w:pPr>
        <w:numPr>
          <w:ilvl w:val="0"/>
          <w:numId w:val="1364"/>
        </w:numPr>
      </w:pPr>
      <w:r>
        <w:rPr>
          <w:b/>
          <w:bCs/>
        </w:rPr>
        <w:t xml:space="preserve">The Education Assistance for College and Higher Education (TEACH)</w:t>
      </w:r>
      <w:r>
        <w:t xml:space="preserve"> </w:t>
      </w:r>
      <w:r>
        <w:t xml:space="preserve">The Education Assistance for College and Higher Education (TEACH) 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4"/>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4"/>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 The maximum award amount for the 2021–22 academic year was $9,660.</w:t>
      </w:r>
    </w:p>
    <w:p>
      <w:pPr>
        <w:numPr>
          <w:ilvl w:val="0"/>
          <w:numId w:val="1364"/>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4"/>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w:t>
      </w:r>
      <w:r>
        <w:t xml:space="preserve"> </w:t>
      </w:r>
      <w:hyperlink r:id="rId493">
        <w:r>
          <w:rPr>
            <w:rStyle w:val="Hyperlink"/>
          </w:rPr>
          <w:t xml:space="preserve">Coe College’s Resources for Veterans and Military Students.</w:t>
        </w:r>
      </w:hyperlink>
    </w:p>
    <w:p>
      <w:pPr>
        <w:numPr>
          <w:ilvl w:val="0"/>
          <w:numId w:val="1364"/>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4"/>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4"/>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4"/>
    <w:bookmarkStart w:id="495" w:name="tution-discount"/>
    <w:p>
      <w:pPr>
        <w:pStyle w:val="Heading3"/>
      </w:pPr>
      <w:r>
        <w:t xml:space="preserve">29.0.6 Tution Discount</w:t>
      </w:r>
    </w:p>
    <w:p>
      <w:pPr>
        <w:numPr>
          <w:ilvl w:val="0"/>
          <w:numId w:val="1365"/>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5"/>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5"/>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5"/>
    <w:bookmarkStart w:id="497"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6"/>
        </w:numPr>
      </w:pPr>
      <w:r>
        <w:rPr>
          <w:b/>
          <w:bCs/>
        </w:rPr>
        <w:t xml:space="preserve">Work-Study Awards</w:t>
      </w:r>
      <w:r>
        <w:t xml:space="preserve"> </w:t>
      </w:r>
      <w:r>
        <w:t xml:space="preserve">provide part-time employment on campus, at area non-profit agencies and in local schools.</w:t>
      </w:r>
    </w:p>
    <w:p>
      <w:pPr>
        <w:numPr>
          <w:ilvl w:val="0"/>
          <w:numId w:val="1366"/>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6"/>
        </w:numPr>
      </w:pPr>
      <w:r>
        <w:rPr>
          <w:b/>
          <w:bCs/>
        </w:rPr>
        <w:t xml:space="preserve">Loan Types</w:t>
      </w:r>
    </w:p>
    <w:p>
      <w:pPr>
        <w:numPr>
          <w:ilvl w:val="0"/>
          <w:numId w:val="1000"/>
        </w:numPr>
      </w:pPr>
      <w:r>
        <w:t xml:space="preserve">There are two types of Federal Direct Stafford loans: subsidized and unsubsidized. The interest rate for loans processed during the 2021–22 academic year is fixed at 3.73 percent. A 1.057% origination fee is subtracted from the loan funds. Please note, interest rates, subsidies, and origination fees may change. Updated information will be published as it becomes available.</w:t>
      </w:r>
    </w:p>
    <w:p>
      <w:pPr>
        <w:numPr>
          <w:ilvl w:val="0"/>
          <w:numId w:val="1000"/>
        </w:numPr>
      </w:pP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6">
        <w:r>
          <w:rPr>
            <w:rStyle w:val="Hyperlink"/>
          </w:rPr>
          <w:t xml:space="preserve">Federal Student Aid</w:t>
        </w:r>
      </w:hyperlink>
    </w:p>
    <w:p>
      <w:pPr>
        <w:numPr>
          <w:ilvl w:val="0"/>
          <w:numId w:val="1366"/>
        </w:numPr>
      </w:pPr>
      <w:r>
        <w:rPr>
          <w:b/>
          <w:bCs/>
        </w:rPr>
        <w:t xml:space="preserve">Federal Direct Parent Loan for Undergraduate Student’s (PLUS)</w:t>
      </w:r>
      <w:r>
        <w:t xml:space="preserve"> </w:t>
      </w:r>
      <w:r>
        <w:t xml:space="preserve">Parents who can demonstrate good credit may borrow the difference between the student’s costs of attendance less financial assistance. Both custodial and non-custodial parents can borrow through the PLUS loan program in order to meet their obligation to the student’s costs at Coe. The interest rate for loans processed during the 2021–22 academic year is fixed at 6.28 %. A 4.228% origination fee is subtracted from the loan funds. Repayment begins 60 days after the loan is fully disbursed unless the borrower requests to defer payment while the student is enrolled.</w:t>
      </w:r>
    </w:p>
    <w:p>
      <w:pPr>
        <w:numPr>
          <w:ilvl w:val="0"/>
          <w:numId w:val="1366"/>
        </w:numPr>
      </w:pPr>
      <w:r>
        <w:rPr>
          <w:b/>
          <w:bCs/>
        </w:rPr>
        <w:t xml:space="preserve">Federal Direct PLUS Loan Program for Graduate Students</w:t>
      </w:r>
      <w:r>
        <w:br/>
      </w:r>
      <w:r>
        <w:t xml:space="preserve">Federal Direct PLUS Loan Program for Graduate Students must be repaid by the student. The terms and conditions applicable to the Parent PLUS Loan (made to parents of dependent students) also apply to PLUS Loans made to graduate students.</w:t>
      </w:r>
    </w:p>
    <w:bookmarkEnd w:id="497"/>
    <w:bookmarkStart w:id="501" w:name="X672b53526713bc7ff09f883aec1f42eac033174"/>
    <w:p>
      <w:pPr>
        <w:pStyle w:val="Heading3"/>
      </w:pPr>
      <w:r>
        <w:t xml:space="preserve">29.0.8 General Policies</w:t>
      </w:r>
    </w:p>
    <w:p>
      <w:pPr>
        <w:pStyle w:val="FirstParagraph"/>
      </w:pPr>
      <w:r>
        <w:rPr>
          <w:b/>
          <w:bCs/>
        </w:rPr>
        <w:t xml:space="preserve">Financial Aid Satisfactory Academic Progress Policy — Academic Year 22–23</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8"/>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7"/>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8"/>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500"/>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9"/>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1"/>
    <w:bookmarkStart w:id="502" w:name="Xf6e50692ca76e8a36923d8e845477b7c0de0604"/>
    <w:p>
      <w:pPr>
        <w:pStyle w:val="Heading3"/>
      </w:pPr>
      <w:r>
        <w:t xml:space="preserve">29.0.9 Impact on SAP of certain types of status marks and credits</w:t>
      </w:r>
    </w:p>
    <w:p>
      <w:pPr>
        <w:numPr>
          <w:ilvl w:val="0"/>
          <w:numId w:val="1370"/>
        </w:numPr>
      </w:pPr>
      <w:r>
        <w:rPr>
          <w:b/>
          <w:bCs/>
        </w:rPr>
        <w:t xml:space="preserve">Audited Courses</w:t>
      </w:r>
      <w:r>
        <w:t xml:space="preserve"> </w:t>
      </w:r>
      <w:r>
        <w:t xml:space="preserve">Audited courses do not count towards degree requirements and do not impact SAP.</w:t>
      </w:r>
    </w:p>
    <w:p>
      <w:pPr>
        <w:numPr>
          <w:ilvl w:val="0"/>
          <w:numId w:val="1370"/>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70"/>
        </w:numPr>
      </w:pPr>
      <w:r>
        <w:rPr>
          <w:b/>
          <w:bCs/>
        </w:rPr>
        <w:t xml:space="preserve">Pass (P) – Not Pass (NP) Graded Courses</w:t>
      </w:r>
      <w:r>
        <w:t xml:space="preserve"> </w:t>
      </w:r>
      <w:r>
        <w:t xml:space="preserve">Grades of</w:t>
      </w:r>
      <w:r>
        <w:t xml:space="preserve"> </w:t>
      </w:r>
      <w:r>
        <w:t xml:space="preserve">“</w:t>
      </w:r>
      <w:r>
        <w:t xml:space="preserve">P</w:t>
      </w:r>
      <w:r>
        <w:t xml:space="preserve">”</w:t>
      </w:r>
      <w:r>
        <w:t xml:space="preserve"> </w:t>
      </w:r>
      <w:r>
        <w:t xml:space="preserve">count as attempted credits and credits earned. Grades of</w:t>
      </w:r>
      <w:r>
        <w:t xml:space="preserve"> </w:t>
      </w:r>
      <w:r>
        <w:t xml:space="preserve">“</w:t>
      </w:r>
      <w:r>
        <w:t xml:space="preserve">NP</w:t>
      </w:r>
      <w:r>
        <w:t xml:space="preserve">”</w:t>
      </w:r>
      <w:r>
        <w:t xml:space="preserve"> </w:t>
      </w:r>
      <w:r>
        <w:t xml:space="preserve">count as attempted credits, but not credits earned. Grades of</w:t>
      </w:r>
      <w:r>
        <w:t xml:space="preserve"> </w:t>
      </w:r>
      <w:r>
        <w:t xml:space="preserve">“</w:t>
      </w:r>
      <w:r>
        <w:t xml:space="preserve">P</w:t>
      </w:r>
      <w:r>
        <w:t xml:space="preserve">”</w:t>
      </w:r>
      <w:r>
        <w:t xml:space="preserve"> </w:t>
      </w:r>
      <w:r>
        <w:t xml:space="preserve">and</w:t>
      </w:r>
      <w:r>
        <w:t xml:space="preserve"> </w:t>
      </w:r>
      <w:r>
        <w:t xml:space="preserve">“</w:t>
      </w:r>
      <w:r>
        <w:t xml:space="preserve">NP</w:t>
      </w:r>
      <w:r>
        <w:t xml:space="preserve">”</w:t>
      </w:r>
      <w:r>
        <w:t xml:space="preserve"> </w:t>
      </w:r>
      <w:r>
        <w:t xml:space="preserve">do not impact GPA.</w:t>
      </w:r>
    </w:p>
    <w:p>
      <w:pPr>
        <w:numPr>
          <w:ilvl w:val="0"/>
          <w:numId w:val="1370"/>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70"/>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70"/>
        </w:numPr>
      </w:pPr>
      <w:r>
        <w:rPr>
          <w:b/>
          <w:bCs/>
        </w:rPr>
        <w:t xml:space="preserve">Status Marks of W and WF</w:t>
      </w:r>
      <w:r>
        <w:t xml:space="preserve"> </w:t>
      </w:r>
      <w:r>
        <w:t xml:space="preserve">Courses for which a grade of</w:t>
      </w:r>
      <w:r>
        <w:t xml:space="preserve"> </w:t>
      </w:r>
      <w:r>
        <w:t xml:space="preserve">“</w:t>
      </w:r>
      <w:r>
        <w:t xml:space="preserve">W</w:t>
      </w:r>
      <w:r>
        <w:t xml:space="preserve">”</w:t>
      </w:r>
      <w:r>
        <w:t xml:space="preserve"> </w:t>
      </w:r>
      <w:r>
        <w:t xml:space="preserve">is recorded count as attempted credits. Courses for which a grade of</w:t>
      </w:r>
      <w:r>
        <w:t xml:space="preserve"> </w:t>
      </w:r>
      <w:r>
        <w:t xml:space="preserve">“</w:t>
      </w:r>
      <w:r>
        <w:t xml:space="preserve">WF</w:t>
      </w:r>
      <w:r>
        <w:t xml:space="preserve">”</w:t>
      </w:r>
      <w:r>
        <w:t xml:space="preserve"> </w:t>
      </w:r>
      <w:r>
        <w:t xml:space="preserve">is recorded count as attempted credits and impact GPA.</w:t>
      </w:r>
    </w:p>
    <w:p>
      <w:pPr>
        <w:numPr>
          <w:ilvl w:val="0"/>
          <w:numId w:val="1370"/>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70"/>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70"/>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1"/>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1"/>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1"/>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1"/>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2"/>
    <w:bookmarkEnd w:id="503"/>
    <w:bookmarkStart w:id="509" w:name="directories"/>
    <w:p>
      <w:pPr>
        <w:pStyle w:val="Heading1"/>
      </w:pPr>
      <w:r>
        <w:t xml:space="preserve">30. DIRECTORIES</w:t>
      </w:r>
    </w:p>
    <w:bookmarkStart w:id="508" w:name="the-faculty"/>
    <w:p>
      <w:pPr>
        <w:pStyle w:val="Heading2"/>
      </w:pPr>
      <w:r>
        <w:t xml:space="preserve">30.1 The Faculty</w:t>
      </w:r>
    </w:p>
    <w:bookmarkStart w:id="504"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Associate 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HEIDE BURSCH</w:t>
      </w:r>
      <w:r>
        <w:br/>
      </w:r>
      <w:r>
        <w:t xml:space="preserve">Associate Professor of Nursing.</w:t>
      </w:r>
      <w:r>
        <w:br/>
      </w:r>
      <w:r>
        <w:t xml:space="preserve">B.S.N., M.S.N., Ph.D., University of Iowa.</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B.S., PhD. Iowa State University.</w:t>
      </w:r>
    </w:p>
    <w:p>
      <w:pPr>
        <w:pStyle w:val="BodyText"/>
      </w:pPr>
      <w:r>
        <w:t xml:space="preserve">JOHN BRADLEY CHAIMOV</w:t>
      </w:r>
      <w:r>
        <w:br/>
      </w:r>
      <w:r>
        <w:t xml:space="preserve">Associate Professor,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Assistant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HANNAH DEHNER</w:t>
      </w:r>
      <w:r>
        <w:br/>
      </w:r>
      <w:r>
        <w:t xml:space="preserve">Assistant Professor of Nursing.</w:t>
      </w:r>
      <w:r>
        <w:br/>
      </w:r>
      <w:r>
        <w:t xml:space="preserve">BSN, MSN, University of Iowa.</w:t>
      </w:r>
    </w:p>
    <w:p>
      <w:pPr>
        <w:pStyle w:val="BodyText"/>
      </w:pPr>
      <w:r>
        <w:t xml:space="preserve">THERESA A. DONOFRIO</w:t>
      </w:r>
      <w:r>
        <w:br/>
      </w:r>
      <w:r>
        <w:t xml:space="preserve">Associate Professor of Communication Studies.</w:t>
      </w:r>
      <w:r>
        <w:br/>
      </w:r>
      <w:r>
        <w:t xml:space="preserve">B.A., Miami University; M.A., Ph.D., University of Maryland.</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LUCILLE GOODSON</w:t>
      </w:r>
      <w:r>
        <w:br/>
      </w:r>
      <w:r>
        <w:t xml:space="preserve">Associate Professor of Art.</w:t>
      </w:r>
      <w:r>
        <w:br/>
      </w:r>
      <w:r>
        <w:t xml:space="preserve">B.A., Black Hills State College; M.F.A., Indiana University.</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Law School.</w:t>
      </w:r>
    </w:p>
    <w:p>
      <w:pPr>
        <w:pStyle w:val="BodyText"/>
      </w:pPr>
      <w:r>
        <w:t xml:space="preserve">NANCY HAYES</w:t>
      </w:r>
      <w:r>
        <w:br/>
      </w:r>
      <w:r>
        <w:t xml:space="preserve">Associate Professor of Education.</w:t>
      </w:r>
      <w:r>
        <w:br/>
      </w:r>
      <w:r>
        <w:t xml:space="preserve">B.A., University of Illinois, Urbana-Champaign; M.A., Pennsylvania State University; Ph.D., University of Iowa.</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JANCA-AJI</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Assistant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Assistant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LEMAY-LEWIS</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 Director of Athletic Training Education.</w:t>
      </w:r>
      <w:r>
        <w:br/>
      </w:r>
      <w:r>
        <w:t xml:space="preserve">B.S., Morningside College; M.S., Louisiana State University.</w:t>
      </w:r>
    </w:p>
    <w:p>
      <w:pPr>
        <w:pStyle w:val="BodyText"/>
      </w:pPr>
      <w:r>
        <w:t xml:space="preserve">LUKE LOVEGOOD</w:t>
      </w:r>
      <w:r>
        <w:br/>
      </w:r>
      <w:r>
        <w:t xml:space="preserve">Assistant Professor of Music - Choral Music Education</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LaTANYA McQUEEN</w:t>
      </w:r>
      <w:r>
        <w:br/>
      </w:r>
      <w:r>
        <w:t xml:space="preserve">Assistant Professor of English and Creative Writing.</w:t>
      </w:r>
      <w:r>
        <w:br/>
      </w:r>
      <w:r>
        <w:t xml:space="preserve">B.F.A; M.F.A., Emerson College; Ph.D., University of Missouri.</w:t>
      </w:r>
    </w:p>
    <w:p>
      <w:pPr>
        <w:pStyle w:val="BodyText"/>
      </w:pPr>
      <w:r>
        <w:t xml:space="preserve">CARRIE MELCHER</w:t>
      </w:r>
      <w:r>
        <w:br/>
      </w:r>
      <w:r>
        <w:t xml:space="preserve">Associate Professor of Stead Department of Business Administration and Economics.</w:t>
      </w:r>
      <w:r>
        <w:br/>
      </w:r>
      <w:r>
        <w:t xml:space="preserve">B.S.,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BRETT MOMMER</w:t>
      </w:r>
      <w:r>
        <w:br/>
      </w:r>
      <w:r>
        <w:t xml:space="preserve">Visiting Assistant Professor of Biology</w:t>
      </w:r>
      <w:r>
        <w:br/>
      </w:r>
      <w:r>
        <w:t xml:space="preserve">B.S., Iowa State University; M.S., Ph.D. University of Illinois, Champaign.</w:t>
      </w:r>
    </w:p>
    <w:p>
      <w:pPr>
        <w:pStyle w:val="BodyText"/>
      </w:pPr>
      <w:r>
        <w:t xml:space="preserve">LAISSA RODRIGUEZ MORENO</w:t>
      </w:r>
      <w:r>
        <w:br/>
      </w:r>
      <w:r>
        <w:t xml:space="preserve">Assistant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 and Director of Washington Term.</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Associate 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Durham University, St. Aidan’s College;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Interim 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MARTIN ALAN ST. CLAIR</w:t>
      </w:r>
      <w:r>
        <w:br/>
      </w:r>
      <w:r>
        <w:t xml:space="preserve">Professor of Chemistry.</w:t>
      </w:r>
      <w:r>
        <w:br/>
      </w:r>
      <w:r>
        <w:t xml:space="preserve">B.S., Butler University; Ph.D., California Institute of Technology.</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Associate 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PETER JOHN THOMPSON</w:t>
      </w:r>
      <w:r>
        <w:br/>
      </w:r>
      <w:r>
        <w:t xml:space="preserve">Professor of Art.</w:t>
      </w:r>
      <w:r>
        <w:br/>
      </w:r>
      <w:r>
        <w:t xml:space="preserve">B.A., M.A., M.F.A., University of Iowa.</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PATRICIA VALDERRAMA</w:t>
      </w:r>
      <w:r>
        <w:br/>
      </w:r>
      <w:r>
        <w:t xml:space="preserve">Assistant Professor of English.</w:t>
      </w:r>
      <w:r>
        <w:br/>
      </w:r>
      <w:r>
        <w:t xml:space="preserve">B.A., Princeton University; Ph.D., Stanford University.</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Interim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Interim Provost and Dean of the Faculty; Associate Professor of History.</w:t>
      </w:r>
      <w:r>
        <w:br/>
      </w:r>
      <w:r>
        <w:t xml:space="preserve">B.A., University of Cincinnati; M.A., Ph.D., Bryn Mawr College.</w:t>
      </w:r>
    </w:p>
    <w:bookmarkEnd w:id="504"/>
    <w:bookmarkStart w:id="505"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w:t>
      </w:r>
      <w:r>
        <w:br/>
      </w:r>
      <w:r>
        <w:t xml:space="preserve">President, Emeritus (1982-2001)</w:t>
      </w:r>
    </w:p>
    <w:p>
      <w:pPr>
        <w:pStyle w:val="BodyText"/>
      </w:pPr>
      <w:r>
        <w:t xml:space="preserve">EDMUND BURKE, Ph.D.</w:t>
      </w:r>
      <w:r>
        <w:br/>
      </w:r>
      <w:r>
        <w:t xml:space="preserve">Professor of Humanities, Emeritus (1974–2012).</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ROBERT DANIEL DREXLER, Ph.D.</w:t>
      </w:r>
      <w:r>
        <w:br/>
      </w:r>
      <w:r>
        <w:t xml:space="preserve">William P. and Gayle S. Whipple Professor of English, Emeritus (1974–2016).</w:t>
      </w:r>
    </w:p>
    <w:p>
      <w:pPr>
        <w:pStyle w:val="BodyText"/>
      </w:pPr>
      <w:r>
        <w:t xml:space="preserve">RICHARD D. DOYLE, M.A.</w:t>
      </w:r>
      <w:r>
        <w:br/>
      </w:r>
      <w:r>
        <w:t xml:space="preserve">Professor, Emeritus; Director of Library Services and Director of Technology (1972–2010).</w:t>
      </w:r>
    </w:p>
    <w:p>
      <w:pPr>
        <w:pStyle w:val="BodyText"/>
      </w:pPr>
      <w:r>
        <w:t xml:space="preserve">MARIA A. DEAN</w:t>
      </w:r>
      <w:r>
        <w:br/>
      </w:r>
      <w:r>
        <w:t xml:space="preserve">Professor of Chemistry, Emeritus (1984–2020).</w:t>
      </w:r>
    </w:p>
    <w:p>
      <w:pPr>
        <w:pStyle w:val="BodyText"/>
      </w:pPr>
      <w:r>
        <w:t xml:space="preserve">WENDY DUNN</w:t>
      </w:r>
      <w:r>
        <w:br/>
      </w:r>
      <w:r>
        <w:t xml:space="preserve">Professor of Psychology , Emeritus (1980–2020).</w:t>
      </w:r>
    </w:p>
    <w:p>
      <w:pPr>
        <w:pStyle w:val="BodyText"/>
      </w:pPr>
      <w:r>
        <w:t xml:space="preserve">ALLEN P. FISHER, Ph.D.</w:t>
      </w:r>
      <w:r>
        <w:br/>
      </w:r>
      <w:r>
        <w:t xml:space="preserve">Stead Family Professor of Sociology, Emeritus (1978–2011).</w:t>
      </w:r>
    </w:p>
    <w:p>
      <w:pPr>
        <w:pStyle w:val="BodyText"/>
      </w:pPr>
      <w:r>
        <w:t xml:space="preserve">HARLO HADOW, Ph.D.</w:t>
      </w:r>
      <w:r>
        <w:br/>
      </w:r>
      <w:r>
        <w:t xml:space="preserve">Heins-Johnson Professor of Biology and Director of the Coe Wilderness Field Station, Emeritus (1977–2019).</w:t>
      </w:r>
    </w:p>
    <w:p>
      <w:pPr>
        <w:pStyle w:val="BodyText"/>
      </w:pPr>
      <w:r>
        <w:t xml:space="preserve">JEANNINE HAMMOND, Ph.D.</w:t>
      </w:r>
      <w:r>
        <w:br/>
      </w:r>
      <w:r>
        <w:t xml:space="preserve">Joanne M. Pochobradsky Professor of French, Emerita (1973–2006).</w:t>
      </w:r>
    </w:p>
    <w:p>
      <w:pPr>
        <w:pStyle w:val="BodyText"/>
      </w:pPr>
      <w:r>
        <w:t xml:space="preserve">DWIGHT W. HANSEN, M.A.</w:t>
      </w:r>
      <w:r>
        <w:br/>
      </w:r>
      <w:r>
        <w:t xml:space="preserve">Associate Professor of Stead Department of Business Administration and Economics, Emeritus (1978–2016).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PETER N. McCORMICK, Ph.D.</w:t>
      </w:r>
      <w:r>
        <w:br/>
      </w:r>
      <w:r>
        <w:t xml:space="preserve">Professor of Philosophy, Emeritus (1974–2018)</w:t>
      </w:r>
    </w:p>
    <w:p>
      <w:pPr>
        <w:pStyle w:val="BodyText"/>
      </w:pPr>
      <w:r>
        <w:t xml:space="preserve">MICHAEL McDONALD, M.A.</w:t>
      </w:r>
      <w:r>
        <w:br/>
      </w:r>
      <w:r>
        <w:t xml:space="preserve">Professor of Business Administration and Economics, Emeritus (1981–2005).</w:t>
      </w:r>
    </w:p>
    <w:p>
      <w:pPr>
        <w:pStyle w:val="BodyText"/>
      </w:pPr>
      <w:r>
        <w:t xml:space="preserve">DAVID W. McINALLY</w:t>
      </w:r>
      <w:r>
        <w:br/>
      </w:r>
      <w:r>
        <w:t xml:space="preserve">President, Emeritus (2013-2021)</w:t>
      </w:r>
    </w:p>
    <w:p>
      <w:pPr>
        <w:pStyle w:val="BodyText"/>
      </w:pPr>
      <w:r>
        <w:t xml:space="preserve">TERRY FUELLING McNABB, Ph.D.</w:t>
      </w:r>
      <w:r>
        <w:br/>
      </w:r>
      <w:r>
        <w:t xml:space="preserve">Professor of Education, Emerita (1995-2016); Associate Dean of the Faculty, (2010–2015).</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MICHAEL E. PUFALL, Ph.D.</w:t>
      </w:r>
      <w:r>
        <w:br/>
      </w:r>
      <w:r>
        <w:t xml:space="preserve">Professor of Theatre Arts, Emeritus (1976–2000).</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5"/>
    <w:bookmarkStart w:id="506" w:name="adjunct-faculty"/>
    <w:p>
      <w:pPr>
        <w:pStyle w:val="Heading3"/>
      </w:pPr>
      <w:r>
        <w:t xml:space="preserve">30.1.3 Adjunct Faculty</w:t>
      </w:r>
    </w:p>
    <w:p>
      <w:pPr>
        <w:pStyle w:val="FirstParagraph"/>
      </w:pPr>
      <w:r>
        <w:t xml:space="preserve">GEOFF CHAPLIN</w:t>
      </w:r>
      <w:r>
        <w:br/>
      </w:r>
      <w:r>
        <w:t xml:space="preserve">Adjunct Assistant Professor of Religion.</w:t>
      </w:r>
      <w:r>
        <w:br/>
      </w:r>
      <w:r>
        <w:t xml:space="preserve">B.A., Oberlin College; M.A., University of Chicago.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MEGUMI POTTER</w:t>
      </w:r>
      <w:r>
        <w:br/>
      </w:r>
      <w:r>
        <w:t xml:space="preserve">Adjunct Instructor of Japanese.</w:t>
      </w:r>
      <w:r>
        <w:br/>
      </w:r>
      <w:r>
        <w:t xml:space="preserve">B.A., University of Iowa; M.A., Baylor University.</w:t>
      </w:r>
    </w:p>
    <w:p>
      <w:pPr>
        <w:pStyle w:val="BodyText"/>
      </w:pPr>
      <w:r>
        <w:t xml:space="preserve">KELLI MARIE RICE</w:t>
      </w:r>
      <w:r>
        <w:br/>
      </w:r>
      <w:r>
        <w:t xml:space="preserve">Adjunct Instructor of Kinesiology.</w:t>
      </w:r>
      <w:r>
        <w:br/>
      </w:r>
      <w:r>
        <w:t xml:space="preserve">B.A., Central College; M.A., University of Iowa.</w:t>
      </w:r>
    </w:p>
    <w:p>
      <w:pPr>
        <w:pStyle w:val="BodyText"/>
      </w:pPr>
      <w:r>
        <w:t xml:space="preserve">KARLA STEFFENS</w:t>
      </w:r>
      <w:r>
        <w:br/>
      </w:r>
      <w:r>
        <w:t xml:space="preserve">Assistant Professor of Theatre Arts and Gender and Sexuality Studies; Coordinator of Crimson Fellows Program.</w:t>
      </w:r>
      <w:r>
        <w:br/>
      </w:r>
      <w:r>
        <w:t xml:space="preserve">B.A., Southern Illinois University; M.A., Johns Hopkins University; M.F.A., University of Iowa.</w:t>
      </w:r>
    </w:p>
    <w:p>
      <w:pPr>
        <w:pStyle w:val="BodyText"/>
      </w:pPr>
      <w:r>
        <w:t xml:space="preserve">CHERISH STEPHENSON</w:t>
      </w:r>
      <w:r>
        <w:br/>
      </w:r>
      <w:r>
        <w:t xml:space="preserve">Adjunct Instructor of Psychology.</w:t>
      </w:r>
      <w:r>
        <w:br/>
      </w:r>
      <w:r>
        <w:t xml:space="preserve">B.A., Coe College; M.S., University of North Carolina at Chapel Hill.</w:t>
      </w:r>
    </w:p>
    <w:p>
      <w:pPr>
        <w:pStyle w:val="BodyText"/>
      </w:pPr>
      <w:r>
        <w:t xml:space="preserve">JAMES WETZEL</w:t>
      </w:r>
      <w:r>
        <w:br/>
      </w:r>
      <w:r>
        <w:t xml:space="preserve">Adjunct Instructor of Astronomy.</w:t>
      </w:r>
      <w:r>
        <w:br/>
      </w:r>
      <w:r>
        <w:t xml:space="preserve">B.SC., University of Iowa.</w:t>
      </w:r>
    </w:p>
    <w:p>
      <w:pPr>
        <w:pStyle w:val="BodyText"/>
      </w:pPr>
      <w:r>
        <w:t xml:space="preserve">BRETT A. WOLGAST</w:t>
      </w:r>
      <w:r>
        <w:br/>
      </w:r>
      <w:r>
        <w:t xml:space="preserve">Assistant Professor of Piano; College Organist.</w:t>
      </w:r>
      <w:r>
        <w:br/>
      </w:r>
      <w:r>
        <w:t xml:space="preserve">B.M., Kansas State University; M.A., M.F.A., D.M.A., University of Iowa.</w:t>
      </w:r>
    </w:p>
    <w:bookmarkEnd w:id="506"/>
    <w:bookmarkStart w:id="507" w:name="special-program-faculty"/>
    <w:p>
      <w:pPr>
        <w:pStyle w:val="Heading3"/>
      </w:pPr>
      <w:r>
        <w:t xml:space="preserve">30.1.4 Special Program Faculty</w:t>
      </w:r>
    </w:p>
    <w:p>
      <w:pPr>
        <w:pStyle w:val="FirstParagraph"/>
      </w:pPr>
      <w:r>
        <w:t xml:space="preserve">ANNA DREXLER</w:t>
      </w:r>
      <w:r>
        <w:br/>
      </w:r>
      <w:r>
        <w:t xml:space="preserve">Instructor and Director of English as a Second Language.</w:t>
      </w:r>
      <w:r>
        <w:br/>
      </w:r>
      <w:r>
        <w:t xml:space="preserve">B.A., Coe College; M.F.A., University of Oregon.</w:t>
      </w:r>
    </w:p>
    <w:p>
      <w:pPr>
        <w:pStyle w:val="BodyText"/>
      </w:pPr>
      <w:r>
        <w:t xml:space="preserve">KATHY WELSH</w:t>
      </w:r>
      <w:r>
        <w:br/>
      </w:r>
      <w:r>
        <w:t xml:space="preserve">Instructor in English as a Second Language.</w:t>
      </w:r>
      <w:r>
        <w:br/>
      </w:r>
      <w:r>
        <w:t xml:space="preserve">B.A., M.A., University of Iowa.</w:t>
      </w:r>
    </w:p>
    <w:bookmarkEnd w:id="507"/>
    <w:bookmarkEnd w:id="508"/>
    <w:bookmarkEnd w:id="509"/>
    <w:bookmarkStart w:id="513" w:name="sec-campus-map"/>
    <w:p>
      <w:pPr>
        <w:pStyle w:val="Heading1"/>
      </w:pPr>
      <w:r>
        <w:t xml:space="preserve">31. CAMPUS MAP</w:t>
      </w:r>
    </w:p>
    <w:p>
      <w:pPr>
        <w:pStyle w:val="FirstParagraph"/>
      </w:pPr>
      <w:r>
        <w:drawing>
          <wp:inline>
            <wp:extent cx="5334000" cy="4229768"/>
            <wp:effectExtent b="0" l="0" r="0" t="0"/>
            <wp:docPr descr="" title="" id="511" name="Picture"/>
            <a:graphic>
              <a:graphicData uri="http://schemas.openxmlformats.org/drawingml/2006/picture">
                <pic:pic>
                  <pic:nvPicPr>
                    <pic:cNvPr descr="catalog_sections/graphics/Campus-Map_full-screen.jpg" id="512" name="Picture"/>
                    <pic:cNvPicPr>
                      <a:picLocks noChangeArrowheads="1" noChangeAspect="1"/>
                    </pic:cNvPicPr>
                  </pic:nvPicPr>
                  <pic:blipFill>
                    <a:blip r:embed="rId510"/>
                    <a:stretch>
                      <a:fillRect/>
                    </a:stretch>
                  </pic:blipFill>
                  <pic:spPr bwMode="auto">
                    <a:xfrm>
                      <a:off x="0" y="0"/>
                      <a:ext cx="5334000" cy="4229768"/>
                    </a:xfrm>
                    <a:prstGeom prst="rect">
                      <a:avLst/>
                    </a:prstGeom>
                    <a:noFill/>
                    <a:ln w="9525">
                      <a:noFill/>
                      <a:headEnd/>
                      <a:tailEnd/>
                    </a:ln>
                  </pic:spPr>
                </pic:pic>
              </a:graphicData>
            </a:graphic>
          </wp:inline>
        </w:drawing>
      </w:r>
    </w:p>
    <w:bookmarkEnd w:id="5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8">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500">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70">
    <w:abstractNumId w:val="991"/>
  </w:num>
  <w:num w:numId="13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0" Target="media/rId510.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2022-2023</dc:title>
  <dc:creator/>
  <cp:keywords/>
  <dcterms:created xsi:type="dcterms:W3CDTF">2024-07-28T22:35:47Z</dcterms:created>
  <dcterms:modified xsi:type="dcterms:W3CDTF">2024-07-28T22:35:47Z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