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DDE2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6930DDEE" wp14:editId="6930DDEF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DE3" w14:textId="092A0773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45263C">
        <w:t>Computação Gráfica</w:t>
      </w:r>
    </w:p>
    <w:p w14:paraId="6930DDE4" w14:textId="09DE62D2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3C4E5D">
        <w:t>210</w:t>
      </w:r>
      <w:r w:rsidR="0045263C">
        <w:t>20</w:t>
      </w:r>
    </w:p>
    <w:p w14:paraId="6930DDE5" w14:textId="12E3084B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5D6399">
        <w:t>António Araújo</w:t>
      </w:r>
    </w:p>
    <w:p w14:paraId="6930DDE6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6930DDE7" w14:textId="213A3DD9" w:rsidR="007F2B7B" w:rsidRDefault="003C099E" w:rsidP="00684318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r w:rsidR="004F6EFD">
        <w:t>Hernâni Filipe Resendes Coelho</w:t>
      </w:r>
    </w:p>
    <w:p w14:paraId="6930DDE8" w14:textId="4F65B1D2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1800045</w:t>
      </w:r>
    </w:p>
    <w:p w14:paraId="6930DDE9" w14:textId="3327F4A6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Engenharia Informática</w:t>
      </w:r>
    </w:p>
    <w:p w14:paraId="6930DDEA" w14:textId="5CF60313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2</w:t>
      </w:r>
      <w:r w:rsidR="0045263C">
        <w:t>8</w:t>
      </w:r>
      <w:r w:rsidR="004F6EFD">
        <w:t>/11/2021</w:t>
      </w:r>
    </w:p>
    <w:p w14:paraId="6930DDEB" w14:textId="77777777" w:rsidR="009E0A7A" w:rsidRDefault="009E0A7A">
      <w:pPr>
        <w:spacing w:after="0" w:line="240" w:lineRule="auto"/>
      </w:pPr>
      <w:r>
        <w:br w:type="page"/>
      </w:r>
    </w:p>
    <w:p w14:paraId="6930DDEC" w14:textId="2C6C8C9D" w:rsidR="003C099E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2BCF77F2" w14:textId="0E47699B" w:rsidR="00C505BC" w:rsidRDefault="000A1E73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Este trabalho tem como objetivo apresentar uma </w:t>
      </w:r>
      <w:r w:rsidR="00637038">
        <w:rPr>
          <w:rFonts w:cs="Arial"/>
          <w:sz w:val="20"/>
          <w:szCs w:val="20"/>
          <w:lang w:eastAsia="pt-PT"/>
        </w:rPr>
        <w:t xml:space="preserve">página web onde é possível visualizar graficamente a aplicação do algoritmo do ponto médio para </w:t>
      </w:r>
      <w:r w:rsidR="00C505BC">
        <w:rPr>
          <w:rFonts w:cs="Arial"/>
          <w:sz w:val="20"/>
          <w:szCs w:val="20"/>
          <w:lang w:eastAsia="pt-PT"/>
        </w:rPr>
        <w:t xml:space="preserve">desenhar </w:t>
      </w:r>
      <w:r w:rsidR="00637038">
        <w:rPr>
          <w:rFonts w:cs="Arial"/>
          <w:sz w:val="20"/>
          <w:szCs w:val="20"/>
          <w:lang w:eastAsia="pt-PT"/>
        </w:rPr>
        <w:t xml:space="preserve">segmentos de reta. </w:t>
      </w:r>
      <w:r w:rsidR="00C505BC">
        <w:rPr>
          <w:rFonts w:cs="Arial"/>
          <w:sz w:val="20"/>
          <w:szCs w:val="20"/>
          <w:lang w:eastAsia="pt-PT"/>
        </w:rPr>
        <w:t>Para o seu desenvolvimento foi utilizado as linguagens de programação</w:t>
      </w:r>
      <w:r>
        <w:rPr>
          <w:rFonts w:cs="Arial"/>
          <w:sz w:val="20"/>
          <w:szCs w:val="20"/>
          <w:lang w:eastAsia="pt-PT"/>
        </w:rPr>
        <w:t xml:space="preserve"> HTML</w:t>
      </w:r>
      <w:r w:rsidR="00C505BC">
        <w:rPr>
          <w:rFonts w:cs="Arial"/>
          <w:sz w:val="20"/>
          <w:szCs w:val="20"/>
          <w:lang w:eastAsia="pt-PT"/>
        </w:rPr>
        <w:t xml:space="preserve"> e</w:t>
      </w:r>
      <w:r>
        <w:rPr>
          <w:rFonts w:cs="Arial"/>
          <w:sz w:val="20"/>
          <w:szCs w:val="20"/>
          <w:lang w:eastAsia="pt-PT"/>
        </w:rPr>
        <w:t xml:space="preserve"> </w:t>
      </w:r>
      <w:r w:rsidR="00C505BC">
        <w:rPr>
          <w:rFonts w:cs="Arial"/>
          <w:sz w:val="20"/>
          <w:szCs w:val="20"/>
          <w:lang w:eastAsia="pt-PT"/>
        </w:rPr>
        <w:t>JavaScript</w:t>
      </w:r>
      <w:r w:rsidR="00EA1EFA">
        <w:rPr>
          <w:rFonts w:cs="Arial"/>
          <w:sz w:val="20"/>
          <w:szCs w:val="20"/>
          <w:lang w:eastAsia="pt-PT"/>
        </w:rPr>
        <w:t>, e as bibliotecas three e orbitcontrols</w:t>
      </w:r>
      <w:r w:rsidR="00C505BC">
        <w:rPr>
          <w:rFonts w:cs="Arial"/>
          <w:sz w:val="20"/>
          <w:szCs w:val="20"/>
          <w:lang w:eastAsia="pt-PT"/>
        </w:rPr>
        <w:t xml:space="preserve">. </w:t>
      </w:r>
    </w:p>
    <w:p w14:paraId="561907DC" w14:textId="41558A32" w:rsidR="000E6EAB" w:rsidRDefault="00C505BC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</w:t>
      </w:r>
      <w:r w:rsidR="00E33B48">
        <w:rPr>
          <w:rFonts w:cs="Arial"/>
          <w:sz w:val="20"/>
          <w:szCs w:val="20"/>
          <w:lang w:eastAsia="pt-PT"/>
        </w:rPr>
        <w:t xml:space="preserve"> organização</w:t>
      </w:r>
      <w:r>
        <w:rPr>
          <w:rFonts w:cs="Arial"/>
          <w:sz w:val="20"/>
          <w:szCs w:val="20"/>
          <w:lang w:eastAsia="pt-PT"/>
        </w:rPr>
        <w:t xml:space="preserve"> </w:t>
      </w:r>
      <w:r w:rsidR="00E33B48">
        <w:rPr>
          <w:rFonts w:cs="Arial"/>
          <w:sz w:val="20"/>
          <w:szCs w:val="20"/>
          <w:lang w:eastAsia="pt-PT"/>
        </w:rPr>
        <w:t xml:space="preserve">da </w:t>
      </w:r>
      <w:r w:rsidR="008E4736">
        <w:rPr>
          <w:rFonts w:cs="Arial"/>
          <w:sz w:val="20"/>
          <w:szCs w:val="20"/>
          <w:lang w:eastAsia="pt-PT"/>
        </w:rPr>
        <w:t>estrutura</w:t>
      </w:r>
      <w:r>
        <w:rPr>
          <w:rFonts w:cs="Arial"/>
          <w:sz w:val="20"/>
          <w:szCs w:val="20"/>
          <w:lang w:eastAsia="pt-PT"/>
        </w:rPr>
        <w:t xml:space="preserve"> de ficheiros da página </w:t>
      </w:r>
      <w:r w:rsidR="00E33B48">
        <w:rPr>
          <w:rFonts w:cs="Arial"/>
          <w:sz w:val="20"/>
          <w:szCs w:val="20"/>
          <w:lang w:eastAsia="pt-PT"/>
        </w:rPr>
        <w:t xml:space="preserve">está </w:t>
      </w:r>
      <w:r w:rsidR="008E4736">
        <w:rPr>
          <w:rFonts w:cs="Arial"/>
          <w:sz w:val="20"/>
          <w:szCs w:val="20"/>
          <w:lang w:eastAsia="pt-PT"/>
        </w:rPr>
        <w:t>organizada de</w:t>
      </w:r>
      <w:r w:rsidR="00E33B48">
        <w:rPr>
          <w:rFonts w:cs="Arial"/>
          <w:sz w:val="20"/>
          <w:szCs w:val="20"/>
          <w:lang w:eastAsia="pt-PT"/>
        </w:rPr>
        <w:t xml:space="preserve"> acordo com as indicações, pelo que resulta </w:t>
      </w:r>
      <w:r>
        <w:rPr>
          <w:rFonts w:cs="Arial"/>
          <w:sz w:val="20"/>
          <w:szCs w:val="20"/>
          <w:lang w:eastAsia="pt-PT"/>
        </w:rPr>
        <w:t>da seguinte forma:</w:t>
      </w:r>
    </w:p>
    <w:p w14:paraId="55CAC69D" w14:textId="5F325218" w:rsidR="00C505BC" w:rsidRDefault="00C505BC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2884537D" w14:textId="4DE24E1F" w:rsidR="00C505BC" w:rsidRDefault="00C505BC" w:rsidP="00E33B4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 w:rsidRPr="00E33B48">
        <w:rPr>
          <w:rFonts w:cs="Arial"/>
          <w:sz w:val="20"/>
          <w:szCs w:val="20"/>
          <w:lang w:eastAsia="pt-PT"/>
        </w:rPr>
        <w:t>Dire</w:t>
      </w:r>
      <w:r w:rsidR="00E33B48" w:rsidRPr="00E33B48">
        <w:rPr>
          <w:rFonts w:cs="Arial"/>
          <w:sz w:val="20"/>
          <w:szCs w:val="20"/>
          <w:lang w:eastAsia="pt-PT"/>
        </w:rPr>
        <w:t>tório base</w:t>
      </w:r>
    </w:p>
    <w:p w14:paraId="7DDBCD4E" w14:textId="7055BCB3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Index.html</w:t>
      </w:r>
    </w:p>
    <w:p w14:paraId="24351830" w14:textId="45C79A00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lineMP.mjs</w:t>
      </w:r>
    </w:p>
    <w:p w14:paraId="156BD043" w14:textId="34E93E8A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readMe.pdf</w:t>
      </w:r>
    </w:p>
    <w:p w14:paraId="45E9A544" w14:textId="62F7AD41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src</w:t>
      </w:r>
    </w:p>
    <w:p w14:paraId="52BE7C71" w14:textId="7CEEAA74" w:rsidR="00E33B48" w:rsidRDefault="00E33B48" w:rsidP="00E33B48">
      <w:pPr>
        <w:pStyle w:val="PargrafodaLista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js</w:t>
      </w:r>
    </w:p>
    <w:p w14:paraId="74D9C18C" w14:textId="7CEEAA74" w:rsidR="00E33B48" w:rsidRDefault="00E33B48" w:rsidP="00E33B48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init.mjs</w:t>
      </w:r>
    </w:p>
    <w:p w14:paraId="511D0FAC" w14:textId="7310F910" w:rsidR="00E33B48" w:rsidRDefault="00E33B48" w:rsidP="00E33B48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main.mjs</w:t>
      </w:r>
    </w:p>
    <w:p w14:paraId="4866FA99" w14:textId="31A8A3EA" w:rsidR="00E33B48" w:rsidRDefault="00E33B48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2DA503CD" w14:textId="3754E5B8" w:rsidR="00E33B48" w:rsidRPr="008E4736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  <w:lang w:eastAsia="pt-PT"/>
        </w:rPr>
      </w:pPr>
      <w:r w:rsidRPr="008E4736">
        <w:rPr>
          <w:rFonts w:cs="Arial"/>
          <w:b/>
          <w:bCs/>
          <w:sz w:val="20"/>
          <w:szCs w:val="20"/>
          <w:lang w:eastAsia="pt-PT"/>
        </w:rPr>
        <w:t>Organização do código:</w:t>
      </w:r>
    </w:p>
    <w:p w14:paraId="4EFD8422" w14:textId="6EC2E058" w:rsidR="008E4736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0D15CAA5" w14:textId="27F96010" w:rsidR="00921197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O código </w:t>
      </w:r>
      <w:r w:rsidR="00921197">
        <w:rPr>
          <w:rFonts w:cs="Arial"/>
          <w:sz w:val="20"/>
          <w:szCs w:val="20"/>
          <w:lang w:eastAsia="pt-PT"/>
        </w:rPr>
        <w:t>está</w:t>
      </w:r>
      <w:r>
        <w:rPr>
          <w:rFonts w:cs="Arial"/>
          <w:sz w:val="20"/>
          <w:szCs w:val="20"/>
          <w:lang w:eastAsia="pt-PT"/>
        </w:rPr>
        <w:t xml:space="preserve"> organizado de forma modular,</w:t>
      </w:r>
      <w:r w:rsidR="00921197">
        <w:rPr>
          <w:rFonts w:cs="Arial"/>
          <w:sz w:val="20"/>
          <w:szCs w:val="20"/>
          <w:lang w:eastAsia="pt-PT"/>
        </w:rPr>
        <w:t xml:space="preserve"> de forma a otimizar a legibilidade, evitando que referências a linguagens diferentes constem do mesmo ficheiro, assim todas estas referências são invocadas de forma externa. </w:t>
      </w:r>
    </w:p>
    <w:p w14:paraId="54456DDB" w14:textId="707BE8BB" w:rsidR="00FA1314" w:rsidRDefault="00921197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O F</w:t>
      </w:r>
      <w:r w:rsidR="008E4736">
        <w:rPr>
          <w:rFonts w:cs="Arial"/>
          <w:sz w:val="20"/>
          <w:szCs w:val="20"/>
          <w:lang w:eastAsia="pt-PT"/>
        </w:rPr>
        <w:t>icheiro index.html</w:t>
      </w:r>
      <w:r w:rsidR="004F02D5">
        <w:rPr>
          <w:rFonts w:cs="Arial"/>
          <w:sz w:val="20"/>
          <w:szCs w:val="20"/>
          <w:lang w:eastAsia="pt-PT"/>
        </w:rPr>
        <w:t xml:space="preserve"> consiste num ficheiro </w:t>
      </w:r>
      <w:r w:rsidR="00AD7F15">
        <w:rPr>
          <w:rFonts w:cs="Arial"/>
          <w:sz w:val="20"/>
          <w:szCs w:val="20"/>
          <w:lang w:eastAsia="pt-PT"/>
        </w:rPr>
        <w:t>simples</w:t>
      </w:r>
      <w:r w:rsidR="004F02D5">
        <w:rPr>
          <w:rFonts w:cs="Arial"/>
          <w:sz w:val="20"/>
          <w:szCs w:val="20"/>
          <w:lang w:eastAsia="pt-PT"/>
        </w:rPr>
        <w:t xml:space="preserve"> que</w:t>
      </w:r>
      <w:r>
        <w:rPr>
          <w:rFonts w:cs="Arial"/>
          <w:sz w:val="20"/>
          <w:szCs w:val="20"/>
          <w:lang w:eastAsia="pt-PT"/>
        </w:rPr>
        <w:t xml:space="preserve"> </w:t>
      </w:r>
      <w:r w:rsidR="004F02D5">
        <w:rPr>
          <w:rFonts w:cs="Arial"/>
          <w:sz w:val="20"/>
          <w:szCs w:val="20"/>
          <w:lang w:eastAsia="pt-PT"/>
        </w:rPr>
        <w:t xml:space="preserve">tem apenas a finalidade de fazer a importação do módulo inicial “init.mjs”. </w:t>
      </w:r>
      <w:r w:rsidR="00AD7F15">
        <w:rPr>
          <w:rFonts w:cs="Arial"/>
          <w:sz w:val="20"/>
          <w:szCs w:val="20"/>
          <w:lang w:eastAsia="pt-PT"/>
        </w:rPr>
        <w:t>Assim que a janela do browser abrir, este módulo invoca a função “init” para iniciar a aplicação da página.</w:t>
      </w:r>
      <w:r w:rsidR="00FA1314">
        <w:rPr>
          <w:rFonts w:cs="Arial"/>
          <w:sz w:val="20"/>
          <w:szCs w:val="20"/>
          <w:lang w:eastAsia="pt-PT"/>
        </w:rPr>
        <w:t xml:space="preserve"> Todas as funções da aplicação estão definidas no módulo “main.mjs”.</w:t>
      </w:r>
    </w:p>
    <w:p w14:paraId="36CB519E" w14:textId="77777777" w:rsidR="003A3465" w:rsidRDefault="00FA1314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 função “init”</w:t>
      </w:r>
      <w:r w:rsidR="00AD7F15">
        <w:rPr>
          <w:rFonts w:cs="Arial"/>
          <w:sz w:val="20"/>
          <w:szCs w:val="20"/>
          <w:lang w:eastAsia="pt-PT"/>
        </w:rPr>
        <w:t xml:space="preserve"> </w:t>
      </w:r>
      <w:r w:rsidR="00AE1872">
        <w:rPr>
          <w:rFonts w:cs="Arial"/>
          <w:sz w:val="20"/>
          <w:szCs w:val="20"/>
          <w:lang w:eastAsia="pt-PT"/>
        </w:rPr>
        <w:t>chama a</w:t>
      </w:r>
      <w:r w:rsidR="00AE6B0F">
        <w:rPr>
          <w:rFonts w:cs="Arial"/>
          <w:sz w:val="20"/>
          <w:szCs w:val="20"/>
          <w:lang w:eastAsia="pt-PT"/>
        </w:rPr>
        <w:t>s funções</w:t>
      </w:r>
      <w:r w:rsidR="00AE1872">
        <w:rPr>
          <w:rFonts w:cs="Arial"/>
          <w:sz w:val="20"/>
          <w:szCs w:val="20"/>
          <w:lang w:eastAsia="pt-PT"/>
        </w:rPr>
        <w:t xml:space="preserve"> para criar a cena, criar o plano de 21 por 21 quadrados com cor alternada, criar as linhas dos eixos positivos x e y</w:t>
      </w:r>
      <w:r w:rsidR="00AE6B0F">
        <w:rPr>
          <w:rFonts w:cs="Arial"/>
          <w:sz w:val="20"/>
          <w:szCs w:val="20"/>
          <w:lang w:eastAsia="pt-PT"/>
        </w:rPr>
        <w:t xml:space="preserve"> e posicionar a camara na cena. O utilizador tem a liberdade </w:t>
      </w:r>
      <w:r w:rsidR="003A3465">
        <w:rPr>
          <w:rFonts w:cs="Arial"/>
          <w:sz w:val="20"/>
          <w:szCs w:val="20"/>
          <w:lang w:eastAsia="pt-PT"/>
        </w:rPr>
        <w:t>de utilizar o rato para deslocar o plano, rodar verticalmente e fazer zoom.</w:t>
      </w:r>
    </w:p>
    <w:p w14:paraId="67040816" w14:textId="77777777" w:rsidR="00FA67B7" w:rsidRDefault="003A3465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A aplicação recorre ao uso de </w:t>
      </w:r>
      <w:r w:rsidR="008B4D1F">
        <w:rPr>
          <w:rFonts w:cs="Arial"/>
          <w:sz w:val="20"/>
          <w:szCs w:val="20"/>
          <w:lang w:eastAsia="pt-PT"/>
        </w:rPr>
        <w:t>handlers de eventos</w:t>
      </w:r>
      <w:r>
        <w:rPr>
          <w:rFonts w:cs="Arial"/>
          <w:sz w:val="20"/>
          <w:szCs w:val="20"/>
          <w:lang w:eastAsia="pt-PT"/>
        </w:rPr>
        <w:t xml:space="preserve"> par</w:t>
      </w:r>
      <w:r w:rsidR="008B4D1F">
        <w:rPr>
          <w:rFonts w:cs="Arial"/>
          <w:sz w:val="20"/>
          <w:szCs w:val="20"/>
          <w:lang w:eastAsia="pt-PT"/>
        </w:rPr>
        <w:t>a tratar determinados eventos que são despoletados. Assim, o evento do movimento do rato é detetado e tratado pela função “onMouseMove”, que deteta e regista as coordenadas normalizadas. Uma vez que</w:t>
      </w:r>
      <w:r w:rsidR="00152F75">
        <w:rPr>
          <w:rFonts w:cs="Arial"/>
          <w:sz w:val="20"/>
          <w:szCs w:val="20"/>
          <w:lang w:eastAsia="pt-PT"/>
        </w:rPr>
        <w:t xml:space="preserve"> </w:t>
      </w:r>
      <w:r w:rsidR="008B4D1F">
        <w:rPr>
          <w:rFonts w:cs="Arial"/>
          <w:sz w:val="20"/>
          <w:szCs w:val="20"/>
          <w:lang w:eastAsia="pt-PT"/>
        </w:rPr>
        <w:t>exista</w:t>
      </w:r>
      <w:r w:rsidR="00152F75">
        <w:rPr>
          <w:rFonts w:cs="Arial"/>
          <w:sz w:val="20"/>
          <w:szCs w:val="20"/>
          <w:lang w:eastAsia="pt-PT"/>
        </w:rPr>
        <w:t xml:space="preserve"> apenas</w:t>
      </w:r>
      <w:r w:rsidR="008B4D1F">
        <w:rPr>
          <w:rFonts w:cs="Arial"/>
          <w:sz w:val="20"/>
          <w:szCs w:val="20"/>
          <w:lang w:eastAsia="pt-PT"/>
        </w:rPr>
        <w:t xml:space="preserve"> movimento </w:t>
      </w:r>
      <w:r w:rsidR="00152F75">
        <w:rPr>
          <w:rFonts w:cs="Arial"/>
          <w:sz w:val="20"/>
          <w:szCs w:val="20"/>
          <w:lang w:eastAsia="pt-PT"/>
        </w:rPr>
        <w:t>d</w:t>
      </w:r>
      <w:r w:rsidR="008B4D1F">
        <w:rPr>
          <w:rFonts w:cs="Arial"/>
          <w:sz w:val="20"/>
          <w:szCs w:val="20"/>
          <w:lang w:eastAsia="pt-PT"/>
        </w:rPr>
        <w:t xml:space="preserve">o rato sobre o tabuleiro, a função “obtainCoordinates” é invocada para </w:t>
      </w:r>
      <w:r w:rsidR="00152F75">
        <w:rPr>
          <w:rFonts w:cs="Arial"/>
          <w:sz w:val="20"/>
          <w:szCs w:val="20"/>
          <w:lang w:eastAsia="pt-PT"/>
        </w:rPr>
        <w:t>detetar as interseções que existam entre o rato e os cubos que formam o tabuleiro, invocando depois a função “showCoordinates” para fazer logs das coordenadas para a consola.</w:t>
      </w:r>
      <w:r w:rsidR="00A30974">
        <w:rPr>
          <w:rFonts w:cs="Arial"/>
          <w:sz w:val="20"/>
          <w:szCs w:val="20"/>
          <w:lang w:eastAsia="pt-PT"/>
        </w:rPr>
        <w:t xml:space="preserve"> </w:t>
      </w:r>
    </w:p>
    <w:p w14:paraId="2D7FE92D" w14:textId="77777777" w:rsidR="00FA67B7" w:rsidRDefault="00A30974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Por outro lado, existe outro handler para tratar dos eventos de teclas pressionadas, e assim que uma tecla é pressionada é invocado a função “keyboardPress” que, caso a seja a tecla x, invoca a função “</w:t>
      </w:r>
      <w:r w:rsidR="008F2610">
        <w:rPr>
          <w:rFonts w:cs="Arial"/>
          <w:sz w:val="20"/>
          <w:szCs w:val="20"/>
          <w:lang w:eastAsia="pt-PT"/>
        </w:rPr>
        <w:t>obtainCoordinates</w:t>
      </w:r>
      <w:r>
        <w:rPr>
          <w:rFonts w:cs="Arial"/>
          <w:sz w:val="20"/>
          <w:szCs w:val="20"/>
          <w:lang w:eastAsia="pt-PT"/>
        </w:rPr>
        <w:t>”</w:t>
      </w:r>
      <w:r w:rsidR="008F2610">
        <w:rPr>
          <w:rFonts w:cs="Arial"/>
          <w:sz w:val="20"/>
          <w:szCs w:val="20"/>
          <w:lang w:eastAsia="pt-PT"/>
        </w:rPr>
        <w:t xml:space="preserve"> com a opção para entrar na condição que permite, alterar a cor do quadrado para vermelho, registar num vetor o cubo selecionado, e invoca a função “saveCoordinates” que irá guardar num objeto as coordenadas do primeiro e segundo quadrado selecionado.</w:t>
      </w:r>
      <w:r w:rsidR="00CD48A0">
        <w:rPr>
          <w:rFonts w:cs="Arial"/>
          <w:sz w:val="20"/>
          <w:szCs w:val="20"/>
          <w:lang w:eastAsia="pt-PT"/>
        </w:rPr>
        <w:t xml:space="preserve"> Assim que as coordenadas do segundo quadrado sejam registadas, a função “lineMP” recebe esses pontos como argumento e trata de fazer o seu processamento o qual retorna um vetor de pontos, referentes aos pontos que formam a linha do ponto médio. De seguida a função “drawTilesLMP” e “drawLineMP” são invocadas, a primeira tem a responsabilidade de </w:t>
      </w:r>
      <w:r w:rsidR="00251782">
        <w:rPr>
          <w:rFonts w:cs="Arial"/>
          <w:sz w:val="20"/>
          <w:szCs w:val="20"/>
          <w:lang w:eastAsia="pt-PT"/>
        </w:rPr>
        <w:t>sobrepor aos cubos do tabuleiro os ladrilhos amarelos que são posicionados de acordo com as coordenadas da linha do ponto médio.</w:t>
      </w:r>
      <w:r w:rsidR="004F5A7E">
        <w:rPr>
          <w:rFonts w:cs="Arial"/>
          <w:sz w:val="20"/>
          <w:szCs w:val="20"/>
          <w:lang w:eastAsia="pt-PT"/>
        </w:rPr>
        <w:t xml:space="preserve"> Logo de seguida, a linha do ponto médio é desenhada utilizando a</w:t>
      </w:r>
      <w:r w:rsidR="00913E01">
        <w:rPr>
          <w:rFonts w:cs="Arial"/>
          <w:sz w:val="20"/>
          <w:szCs w:val="20"/>
          <w:lang w:eastAsia="pt-PT"/>
        </w:rPr>
        <w:t xml:space="preserve">s coordendas do ponto inicial e final. </w:t>
      </w:r>
    </w:p>
    <w:p w14:paraId="4525818F" w14:textId="04608F3F" w:rsidR="008E4736" w:rsidRPr="00E33B48" w:rsidRDefault="00913E01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Caso a tecla pressionada seja </w:t>
      </w:r>
      <w:r w:rsidR="001649C1">
        <w:rPr>
          <w:rFonts w:cs="Arial"/>
          <w:sz w:val="20"/>
          <w:szCs w:val="20"/>
          <w:lang w:eastAsia="pt-PT"/>
        </w:rPr>
        <w:t>a</w:t>
      </w:r>
      <w:r>
        <w:rPr>
          <w:rFonts w:cs="Arial"/>
          <w:sz w:val="20"/>
          <w:szCs w:val="20"/>
          <w:lang w:eastAsia="pt-PT"/>
        </w:rPr>
        <w:t xml:space="preserve"> back</w:t>
      </w:r>
      <w:r w:rsidR="001649C1">
        <w:rPr>
          <w:rFonts w:cs="Arial"/>
          <w:sz w:val="20"/>
          <w:szCs w:val="20"/>
          <w:lang w:eastAsia="pt-PT"/>
        </w:rPr>
        <w:t>space, então será chamada a função “resetBoard” que irá tratar de remover todos as seleções, ladrilhos e linhas que tenham sido adicionados no tabuleiro.</w:t>
      </w:r>
      <w:r w:rsidR="009B28A3">
        <w:rPr>
          <w:rFonts w:cs="Arial"/>
          <w:sz w:val="20"/>
          <w:szCs w:val="20"/>
          <w:lang w:eastAsia="pt-PT"/>
        </w:rPr>
        <w:t xml:space="preserve"> A função “cleanTilesLMP” trata de remover da cena todos os ladrilhos que tenham sido renderizados na cena, a função “cleanLineMP”, remove da cena a linha do ponto médio e por fim a função “resetCubeColor” restaura as cores iniciais </w:t>
      </w:r>
      <w:r w:rsidR="00FA67B7">
        <w:rPr>
          <w:rFonts w:cs="Arial"/>
          <w:sz w:val="20"/>
          <w:szCs w:val="20"/>
          <w:lang w:eastAsia="pt-PT"/>
        </w:rPr>
        <w:t xml:space="preserve">de todos os </w:t>
      </w:r>
      <w:r w:rsidR="009B28A3">
        <w:rPr>
          <w:rFonts w:cs="Arial"/>
          <w:sz w:val="20"/>
          <w:szCs w:val="20"/>
          <w:lang w:eastAsia="pt-PT"/>
        </w:rPr>
        <w:t>cubos selecionados como ponto A e ponto B</w:t>
      </w:r>
      <w:r w:rsidR="00FA67B7">
        <w:rPr>
          <w:rFonts w:cs="Arial"/>
          <w:sz w:val="20"/>
          <w:szCs w:val="20"/>
          <w:lang w:eastAsia="pt-PT"/>
        </w:rPr>
        <w:t xml:space="preserve"> das linhas de ponto médio</w:t>
      </w:r>
      <w:r w:rsidR="009B28A3">
        <w:rPr>
          <w:rFonts w:cs="Arial"/>
          <w:sz w:val="20"/>
          <w:szCs w:val="20"/>
          <w:lang w:eastAsia="pt-PT"/>
        </w:rPr>
        <w:t>.</w:t>
      </w:r>
      <w:r w:rsidR="00FA67B7">
        <w:rPr>
          <w:rFonts w:cs="Arial"/>
          <w:sz w:val="20"/>
          <w:szCs w:val="20"/>
          <w:lang w:eastAsia="pt-PT"/>
        </w:rPr>
        <w:t xml:space="preserve"> </w:t>
      </w:r>
    </w:p>
    <w:p w14:paraId="1FE1DC8A" w14:textId="3DD7F0D3" w:rsidR="00601498" w:rsidRPr="00291FFF" w:rsidRDefault="00BF6DFC" w:rsidP="00F154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u w:val="single"/>
          <w:lang w:eastAsia="pt-PT"/>
        </w:rPr>
      </w:pPr>
      <w:r>
        <w:rPr>
          <w:rFonts w:cs="Arial"/>
          <w:sz w:val="20"/>
          <w:szCs w:val="20"/>
          <w:lang w:eastAsia="pt-PT"/>
        </w:rPr>
        <w:t>A função “lineMP” é a função responsável por processar</w:t>
      </w:r>
      <w:r w:rsidR="00A754D1">
        <w:rPr>
          <w:rFonts w:cs="Arial"/>
          <w:sz w:val="20"/>
          <w:szCs w:val="20"/>
          <w:lang w:eastAsia="pt-PT"/>
        </w:rPr>
        <w:t xml:space="preserve"> a linha do ponto médio através das</w:t>
      </w:r>
      <w:r w:rsidR="00AA6F56">
        <w:rPr>
          <w:rFonts w:cs="Arial"/>
          <w:sz w:val="20"/>
          <w:szCs w:val="20"/>
          <w:lang w:eastAsia="pt-PT"/>
        </w:rPr>
        <w:t xml:space="preserve"> coordenadas do</w:t>
      </w:r>
      <w:r>
        <w:rPr>
          <w:rFonts w:cs="Arial"/>
          <w:sz w:val="20"/>
          <w:szCs w:val="20"/>
          <w:lang w:eastAsia="pt-PT"/>
        </w:rPr>
        <w:t xml:space="preserve"> ponto A e ponto B</w:t>
      </w:r>
      <w:r w:rsidR="00A754D1">
        <w:rPr>
          <w:rFonts w:cs="Arial"/>
          <w:sz w:val="20"/>
          <w:szCs w:val="20"/>
          <w:lang w:eastAsia="pt-PT"/>
        </w:rPr>
        <w:t xml:space="preserve"> que são</w:t>
      </w:r>
      <w:r w:rsidR="005D6399">
        <w:rPr>
          <w:rFonts w:cs="Arial"/>
          <w:sz w:val="20"/>
          <w:szCs w:val="20"/>
          <w:lang w:eastAsia="pt-PT"/>
        </w:rPr>
        <w:t xml:space="preserve"> recebidos</w:t>
      </w:r>
      <w:r w:rsidR="00A754D1">
        <w:rPr>
          <w:rFonts w:cs="Arial"/>
          <w:sz w:val="20"/>
          <w:szCs w:val="20"/>
          <w:lang w:eastAsia="pt-PT"/>
        </w:rPr>
        <w:t xml:space="preserve"> como argumento.</w:t>
      </w:r>
      <w:r w:rsidR="00D76FF6">
        <w:rPr>
          <w:rFonts w:cs="Arial"/>
          <w:sz w:val="20"/>
          <w:szCs w:val="20"/>
          <w:lang w:eastAsia="pt-PT"/>
        </w:rPr>
        <w:t xml:space="preserve"> Esta começa por verificar as condições iniciais d</w:t>
      </w:r>
      <w:r w:rsidR="00EA1EFA">
        <w:rPr>
          <w:rFonts w:cs="Arial"/>
          <w:sz w:val="20"/>
          <w:szCs w:val="20"/>
          <w:lang w:eastAsia="pt-PT"/>
        </w:rPr>
        <w:t>o algoritmo</w:t>
      </w:r>
      <w:r w:rsidR="003B770D">
        <w:rPr>
          <w:rFonts w:cs="Arial"/>
          <w:sz w:val="20"/>
          <w:szCs w:val="20"/>
          <w:lang w:eastAsia="pt-PT"/>
        </w:rPr>
        <w:t xml:space="preserve"> para </w:t>
      </w:r>
      <w:r w:rsidR="005D6399">
        <w:rPr>
          <w:rFonts w:cs="Arial"/>
          <w:sz w:val="20"/>
          <w:szCs w:val="20"/>
          <w:lang w:eastAsia="pt-PT"/>
        </w:rPr>
        <w:t xml:space="preserve">determinar se a reta se encontra dentro da condição essencial, ou seja, se está no primeiro octante. Caso não esteja, aplica </w:t>
      </w:r>
      <w:r w:rsidR="003B770D">
        <w:rPr>
          <w:rFonts w:cs="Arial"/>
          <w:sz w:val="20"/>
          <w:szCs w:val="20"/>
          <w:lang w:eastAsia="pt-PT"/>
        </w:rPr>
        <w:t xml:space="preserve">a transformação para </w:t>
      </w:r>
      <w:r w:rsidR="005D6399">
        <w:rPr>
          <w:rFonts w:cs="Arial"/>
          <w:sz w:val="20"/>
          <w:szCs w:val="20"/>
          <w:lang w:eastAsia="pt-PT"/>
        </w:rPr>
        <w:t xml:space="preserve">a tornar </w:t>
      </w:r>
      <w:r w:rsidR="00982CAC">
        <w:rPr>
          <w:rFonts w:cs="Arial"/>
          <w:sz w:val="20"/>
          <w:szCs w:val="20"/>
          <w:lang w:eastAsia="pt-PT"/>
        </w:rPr>
        <w:t>n</w:t>
      </w:r>
      <w:r w:rsidR="005D6399">
        <w:rPr>
          <w:rFonts w:cs="Arial"/>
          <w:sz w:val="20"/>
          <w:szCs w:val="20"/>
          <w:lang w:eastAsia="pt-PT"/>
        </w:rPr>
        <w:t>uma reta do</w:t>
      </w:r>
      <w:r w:rsidR="003B770D">
        <w:rPr>
          <w:rFonts w:cs="Arial"/>
          <w:sz w:val="20"/>
          <w:szCs w:val="20"/>
          <w:lang w:eastAsia="pt-PT"/>
        </w:rPr>
        <w:t xml:space="preserve"> primeiro octante</w:t>
      </w:r>
      <w:r w:rsidR="00982CAC">
        <w:rPr>
          <w:rFonts w:cs="Arial"/>
          <w:sz w:val="20"/>
          <w:szCs w:val="20"/>
          <w:lang w:eastAsia="pt-PT"/>
        </w:rPr>
        <w:t xml:space="preserve">. Posteriormente se houve esta troca, é necessário </w:t>
      </w:r>
      <w:r w:rsidR="00601498">
        <w:rPr>
          <w:rFonts w:cs="Arial"/>
          <w:sz w:val="20"/>
          <w:szCs w:val="20"/>
          <w:lang w:eastAsia="pt-PT"/>
        </w:rPr>
        <w:t>inverter</w:t>
      </w:r>
      <w:r w:rsidR="00982CAC">
        <w:rPr>
          <w:rFonts w:cs="Arial"/>
          <w:sz w:val="20"/>
          <w:szCs w:val="20"/>
          <w:lang w:eastAsia="pt-PT"/>
        </w:rPr>
        <w:t xml:space="preserve"> a</w:t>
      </w:r>
      <w:r w:rsidR="00601498">
        <w:rPr>
          <w:rFonts w:cs="Arial"/>
          <w:sz w:val="20"/>
          <w:szCs w:val="20"/>
          <w:lang w:eastAsia="pt-PT"/>
        </w:rPr>
        <w:t xml:space="preserve"> transformação para a tornar no caso original</w:t>
      </w:r>
      <w:r w:rsidR="00383A78">
        <w:rPr>
          <w:rFonts w:cs="Arial"/>
          <w:sz w:val="20"/>
          <w:szCs w:val="20"/>
          <w:lang w:eastAsia="pt-PT"/>
        </w:rPr>
        <w:t>.</w:t>
      </w:r>
      <w:r w:rsidR="00291FFF">
        <w:rPr>
          <w:rFonts w:cs="Arial"/>
          <w:sz w:val="20"/>
          <w:szCs w:val="20"/>
          <w:lang w:eastAsia="pt-PT"/>
        </w:rPr>
        <w:t xml:space="preserve"> Após estes procedimentos a função retorna um vetor com as coordenadas que formam a linha do ponto médio.</w:t>
      </w:r>
    </w:p>
    <w:p w14:paraId="4CD56E76" w14:textId="4C98E04E" w:rsidR="007B1A8E" w:rsidRDefault="00F154C9" w:rsidP="00F154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lastRenderedPageBreak/>
        <w:t xml:space="preserve"> </w:t>
      </w:r>
    </w:p>
    <w:p w14:paraId="6F7E25F4" w14:textId="3947840B" w:rsidR="009C5397" w:rsidRDefault="009C5397" w:rsidP="00383A7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7A16C45" wp14:editId="4C4C8285">
            <wp:extent cx="3533687" cy="1662545"/>
            <wp:effectExtent l="0" t="0" r="0" b="0"/>
            <wp:docPr id="1" name="Imagem 1" descr="Uma imagem com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edifíc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732" cy="16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BA0" w14:textId="5DC37A91" w:rsidR="00C505BC" w:rsidRPr="00291FFF" w:rsidRDefault="009C5397" w:rsidP="00291FFF">
      <w:pPr>
        <w:pStyle w:val="Legenda"/>
        <w:jc w:val="center"/>
      </w:pPr>
      <w:r>
        <w:t xml:space="preserve">Figura </w:t>
      </w:r>
      <w:r w:rsidR="00957F4B">
        <w:fldChar w:fldCharType="begin"/>
      </w:r>
      <w:r w:rsidR="00957F4B">
        <w:instrText xml:space="preserve"> SEQ Figura \* ARABIC </w:instrText>
      </w:r>
      <w:r w:rsidR="00957F4B">
        <w:fldChar w:fldCharType="separate"/>
      </w:r>
      <w:r w:rsidR="009E324C">
        <w:rPr>
          <w:noProof/>
        </w:rPr>
        <w:t>1</w:t>
      </w:r>
      <w:r w:rsidR="00957F4B">
        <w:rPr>
          <w:noProof/>
        </w:rPr>
        <w:fldChar w:fldCharType="end"/>
      </w:r>
      <w:r>
        <w:t xml:space="preserve"> Posição inicial da aplicação com foco no ponto (0,0)</w:t>
      </w:r>
    </w:p>
    <w:p w14:paraId="2402D6B1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8C7B2FC" wp14:editId="216A4551">
            <wp:extent cx="3560710" cy="1674421"/>
            <wp:effectExtent l="0" t="0" r="190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061" cy="16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2199" w14:textId="1C2676ED" w:rsidR="0045263C" w:rsidRDefault="009C5397" w:rsidP="00383A78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r w:rsidR="00957F4B">
        <w:fldChar w:fldCharType="begin"/>
      </w:r>
      <w:r w:rsidR="00957F4B">
        <w:instrText xml:space="preserve"> SEQ Figura \* ARABIC </w:instrText>
      </w:r>
      <w:r w:rsidR="00957F4B">
        <w:fldChar w:fldCharType="separate"/>
      </w:r>
      <w:r w:rsidR="009E324C">
        <w:rPr>
          <w:noProof/>
        </w:rPr>
        <w:t>2</w:t>
      </w:r>
      <w:r w:rsidR="00957F4B">
        <w:rPr>
          <w:noProof/>
        </w:rPr>
        <w:fldChar w:fldCharType="end"/>
      </w:r>
      <w:r>
        <w:t xml:space="preserve"> Selecção dos pontos (0,0) e (3,1), renderização  dos tiles e da linha</w:t>
      </w:r>
    </w:p>
    <w:p w14:paraId="74DCB9F6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620BB47" wp14:editId="576D9E90">
            <wp:extent cx="3586348" cy="1691117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689" cy="1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27B1" w14:textId="0405EF5D" w:rsidR="00B2745E" w:rsidRDefault="009C5397" w:rsidP="00383A78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r w:rsidR="00957F4B">
        <w:fldChar w:fldCharType="begin"/>
      </w:r>
      <w:r w:rsidR="00957F4B">
        <w:instrText xml:space="preserve"> SEQ Figura \* ARABIC </w:instrText>
      </w:r>
      <w:r w:rsidR="00957F4B">
        <w:fldChar w:fldCharType="separate"/>
      </w:r>
      <w:r w:rsidR="009E324C">
        <w:rPr>
          <w:noProof/>
        </w:rPr>
        <w:t>3</w:t>
      </w:r>
      <w:r w:rsidR="00957F4B">
        <w:rPr>
          <w:noProof/>
        </w:rPr>
        <w:fldChar w:fldCharType="end"/>
      </w:r>
      <w:r>
        <w:t xml:space="preserve"> Vista do topo, liberdade do utilizador rodar o plano verticalmente</w:t>
      </w:r>
    </w:p>
    <w:p w14:paraId="11CBD8AC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53599B5" wp14:editId="2465263D">
            <wp:extent cx="3610098" cy="174349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329" cy="17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370" w14:textId="7E6B732A" w:rsidR="00B2745E" w:rsidRDefault="009C5397" w:rsidP="00383A78">
      <w:pPr>
        <w:pStyle w:val="Legenda"/>
        <w:jc w:val="center"/>
      </w:pPr>
      <w:r>
        <w:t xml:space="preserve">Figura </w:t>
      </w:r>
      <w:r w:rsidR="00957F4B">
        <w:fldChar w:fldCharType="begin"/>
      </w:r>
      <w:r w:rsidR="00957F4B">
        <w:instrText xml:space="preserve"> SEQ Figura \* ARABIC </w:instrText>
      </w:r>
      <w:r w:rsidR="00957F4B">
        <w:fldChar w:fldCharType="separate"/>
      </w:r>
      <w:r w:rsidR="009E324C">
        <w:rPr>
          <w:noProof/>
        </w:rPr>
        <w:t>4</w:t>
      </w:r>
      <w:r w:rsidR="00957F4B">
        <w:rPr>
          <w:noProof/>
        </w:rPr>
        <w:fldChar w:fldCharType="end"/>
      </w:r>
      <w:r>
        <w:t xml:space="preserve"> Apresentação das coordenadas na consola</w:t>
      </w:r>
    </w:p>
    <w:p w14:paraId="31DC8CED" w14:textId="77777777" w:rsidR="00E27F7F" w:rsidRDefault="00291FFF" w:rsidP="00E27F7F">
      <w:pPr>
        <w:spacing w:after="0" w:line="240" w:lineRule="auto"/>
        <w:jc w:val="both"/>
        <w:rPr>
          <w:sz w:val="20"/>
          <w:szCs w:val="18"/>
        </w:rPr>
      </w:pPr>
      <w:r w:rsidRPr="00E27F7F">
        <w:rPr>
          <w:sz w:val="20"/>
          <w:szCs w:val="18"/>
        </w:rPr>
        <w:t xml:space="preserve">Bibliografia: </w:t>
      </w:r>
    </w:p>
    <w:p w14:paraId="4E85453B" w14:textId="524EBE04" w:rsidR="00291FFF" w:rsidRDefault="00E27F7F" w:rsidP="00E27F7F">
      <w:pPr>
        <w:spacing w:after="0" w:line="240" w:lineRule="auto"/>
        <w:jc w:val="both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E27F7F">
        <w:rPr>
          <w:sz w:val="20"/>
          <w:szCs w:val="18"/>
        </w:rPr>
        <w:t xml:space="preserve">Rasterização </w:t>
      </w:r>
      <w:r w:rsidRPr="00E27F7F">
        <w:rPr>
          <w:rFonts w:cs="Arial"/>
          <w:color w:val="000000" w:themeColor="text1"/>
          <w:sz w:val="20"/>
          <w:szCs w:val="20"/>
        </w:rPr>
        <w:t xml:space="preserve">- </w:t>
      </w:r>
      <w:hyperlink r:id="rId12" w:history="1">
        <w:r w:rsidRPr="00044BD0">
          <w:rPr>
            <w:rStyle w:val="Hiperligao"/>
            <w:rFonts w:cs="Arial"/>
            <w:sz w:val="20"/>
            <w:szCs w:val="20"/>
            <w:shd w:val="clear" w:color="auto" w:fill="FFFFFF"/>
          </w:rPr>
          <w:t>https://ler.letras.up.pt/uploads/ficheiros/artigo3521.pdf</w:t>
        </w:r>
      </w:hyperlink>
    </w:p>
    <w:p w14:paraId="0C80D8AD" w14:textId="7FCE1628" w:rsidR="00E27F7F" w:rsidRPr="00E27F7F" w:rsidRDefault="00E27F7F" w:rsidP="00E27F7F">
      <w:pPr>
        <w:spacing w:line="240" w:lineRule="auto"/>
        <w:rPr>
          <w:sz w:val="20"/>
          <w:szCs w:val="18"/>
          <w:u w:val="single"/>
        </w:rPr>
      </w:pPr>
      <w:r>
        <w:rPr>
          <w:rFonts w:cs="Arial"/>
          <w:color w:val="000000" w:themeColor="text1"/>
          <w:sz w:val="20"/>
          <w:szCs w:val="20"/>
          <w:shd w:val="clear" w:color="auto" w:fill="FFFFFF"/>
        </w:rPr>
        <w:t>Documentação disponibilizada no âmbito da disciplina</w:t>
      </w:r>
    </w:p>
    <w:sectPr w:rsidR="00E27F7F" w:rsidRPr="00E27F7F" w:rsidSect="00E27F7F">
      <w:footerReference w:type="default" r:id="rId13"/>
      <w:footerReference w:type="first" r:id="rId14"/>
      <w:pgSz w:w="11906" w:h="16838"/>
      <w:pgMar w:top="113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6EDB" w14:textId="77777777" w:rsidR="00957F4B" w:rsidRDefault="00957F4B" w:rsidP="00FE06CF">
      <w:pPr>
        <w:spacing w:after="0" w:line="240" w:lineRule="auto"/>
      </w:pPr>
      <w:r>
        <w:separator/>
      </w:r>
    </w:p>
  </w:endnote>
  <w:endnote w:type="continuationSeparator" w:id="0">
    <w:p w14:paraId="01F0BBF1" w14:textId="77777777" w:rsidR="00957F4B" w:rsidRDefault="00957F4B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DDF4" w14:textId="77777777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30DDF5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B217" w14:textId="77777777" w:rsidR="00957F4B" w:rsidRDefault="00957F4B" w:rsidP="00FE06CF">
      <w:pPr>
        <w:spacing w:after="0" w:line="240" w:lineRule="auto"/>
      </w:pPr>
      <w:r>
        <w:separator/>
      </w:r>
    </w:p>
  </w:footnote>
  <w:footnote w:type="continuationSeparator" w:id="0">
    <w:p w14:paraId="042720E8" w14:textId="77777777" w:rsidR="00957F4B" w:rsidRDefault="00957F4B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29A9"/>
    <w:multiLevelType w:val="hybridMultilevel"/>
    <w:tmpl w:val="34A62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86A695C"/>
    <w:multiLevelType w:val="hybridMultilevel"/>
    <w:tmpl w:val="8CFAFA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95305"/>
    <w:multiLevelType w:val="hybridMultilevel"/>
    <w:tmpl w:val="5DF87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196444CD"/>
    <w:multiLevelType w:val="hybridMultilevel"/>
    <w:tmpl w:val="7D5A82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96F50"/>
    <w:multiLevelType w:val="hybridMultilevel"/>
    <w:tmpl w:val="211EE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879BF"/>
    <w:multiLevelType w:val="hybridMultilevel"/>
    <w:tmpl w:val="C5144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75696"/>
    <w:multiLevelType w:val="hybridMultilevel"/>
    <w:tmpl w:val="22A20D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804EA"/>
    <w:multiLevelType w:val="hybridMultilevel"/>
    <w:tmpl w:val="57908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380E"/>
    <w:multiLevelType w:val="hybridMultilevel"/>
    <w:tmpl w:val="560C5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97670"/>
    <w:multiLevelType w:val="hybridMultilevel"/>
    <w:tmpl w:val="D3C0E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F5FE4"/>
    <w:multiLevelType w:val="multilevel"/>
    <w:tmpl w:val="DF64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F32115"/>
    <w:multiLevelType w:val="hybridMultilevel"/>
    <w:tmpl w:val="C79EAD4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27A7F3A"/>
    <w:multiLevelType w:val="hybridMultilevel"/>
    <w:tmpl w:val="4E381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0763D"/>
    <w:multiLevelType w:val="hybridMultilevel"/>
    <w:tmpl w:val="A7B07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B599C"/>
    <w:multiLevelType w:val="hybridMultilevel"/>
    <w:tmpl w:val="E2662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9"/>
  </w:num>
  <w:num w:numId="10">
    <w:abstractNumId w:val="5"/>
  </w:num>
  <w:num w:numId="11">
    <w:abstractNumId w:val="15"/>
  </w:num>
  <w:num w:numId="12">
    <w:abstractNumId w:val="16"/>
  </w:num>
  <w:num w:numId="13">
    <w:abstractNumId w:val="18"/>
  </w:num>
  <w:num w:numId="14">
    <w:abstractNumId w:val="20"/>
  </w:num>
  <w:num w:numId="15">
    <w:abstractNumId w:val="1"/>
  </w:num>
  <w:num w:numId="16">
    <w:abstractNumId w:val="21"/>
  </w:num>
  <w:num w:numId="17">
    <w:abstractNumId w:val="8"/>
  </w:num>
  <w:num w:numId="18">
    <w:abstractNumId w:val="10"/>
  </w:num>
  <w:num w:numId="19">
    <w:abstractNumId w:val="22"/>
  </w:num>
  <w:num w:numId="20">
    <w:abstractNumId w:val="4"/>
  </w:num>
  <w:num w:numId="21">
    <w:abstractNumId w:val="1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254A5"/>
    <w:rsid w:val="00030DD1"/>
    <w:rsid w:val="00081B2B"/>
    <w:rsid w:val="0009543E"/>
    <w:rsid w:val="0009579D"/>
    <w:rsid w:val="000A1E73"/>
    <w:rsid w:val="000A6BCA"/>
    <w:rsid w:val="000A6C78"/>
    <w:rsid w:val="000D620F"/>
    <w:rsid w:val="000E6EAB"/>
    <w:rsid w:val="0010079A"/>
    <w:rsid w:val="001363F5"/>
    <w:rsid w:val="0015144E"/>
    <w:rsid w:val="00152F75"/>
    <w:rsid w:val="001649C1"/>
    <w:rsid w:val="00192360"/>
    <w:rsid w:val="00195D16"/>
    <w:rsid w:val="001A5AC4"/>
    <w:rsid w:val="001A6B04"/>
    <w:rsid w:val="00230103"/>
    <w:rsid w:val="00230F5A"/>
    <w:rsid w:val="0023198D"/>
    <w:rsid w:val="00231AC7"/>
    <w:rsid w:val="00251782"/>
    <w:rsid w:val="00291FFF"/>
    <w:rsid w:val="002A34FC"/>
    <w:rsid w:val="002A5A50"/>
    <w:rsid w:val="002C12D3"/>
    <w:rsid w:val="002E353F"/>
    <w:rsid w:val="0030068E"/>
    <w:rsid w:val="003066FB"/>
    <w:rsid w:val="003164CE"/>
    <w:rsid w:val="003332E3"/>
    <w:rsid w:val="0037716F"/>
    <w:rsid w:val="00383A78"/>
    <w:rsid w:val="00387C47"/>
    <w:rsid w:val="00395D33"/>
    <w:rsid w:val="003A3465"/>
    <w:rsid w:val="003B770D"/>
    <w:rsid w:val="003C099E"/>
    <w:rsid w:val="003C4E5D"/>
    <w:rsid w:val="003C6362"/>
    <w:rsid w:val="003D1F37"/>
    <w:rsid w:val="003E4A5F"/>
    <w:rsid w:val="00441A57"/>
    <w:rsid w:val="0045263C"/>
    <w:rsid w:val="004B269A"/>
    <w:rsid w:val="004F02D5"/>
    <w:rsid w:val="004F5A7E"/>
    <w:rsid w:val="004F6EFD"/>
    <w:rsid w:val="00505C02"/>
    <w:rsid w:val="00523299"/>
    <w:rsid w:val="005350AF"/>
    <w:rsid w:val="00551DF9"/>
    <w:rsid w:val="005B636C"/>
    <w:rsid w:val="005D5D1E"/>
    <w:rsid w:val="005D6399"/>
    <w:rsid w:val="005E382B"/>
    <w:rsid w:val="00601498"/>
    <w:rsid w:val="00606858"/>
    <w:rsid w:val="00633C5E"/>
    <w:rsid w:val="00637038"/>
    <w:rsid w:val="006508BD"/>
    <w:rsid w:val="00667691"/>
    <w:rsid w:val="00684318"/>
    <w:rsid w:val="007019A8"/>
    <w:rsid w:val="007314F5"/>
    <w:rsid w:val="007503DE"/>
    <w:rsid w:val="007B1A8E"/>
    <w:rsid w:val="007D0AEB"/>
    <w:rsid w:val="007F2B7B"/>
    <w:rsid w:val="0083133B"/>
    <w:rsid w:val="008752F2"/>
    <w:rsid w:val="00883A3E"/>
    <w:rsid w:val="008A7CFF"/>
    <w:rsid w:val="008B2B5A"/>
    <w:rsid w:val="008B4D1F"/>
    <w:rsid w:val="008C4AD3"/>
    <w:rsid w:val="008D22E9"/>
    <w:rsid w:val="008E39CA"/>
    <w:rsid w:val="008E3D01"/>
    <w:rsid w:val="008E4736"/>
    <w:rsid w:val="008F2610"/>
    <w:rsid w:val="00913E01"/>
    <w:rsid w:val="0092081F"/>
    <w:rsid w:val="00921197"/>
    <w:rsid w:val="00942FE3"/>
    <w:rsid w:val="00957F4B"/>
    <w:rsid w:val="00976893"/>
    <w:rsid w:val="00982CAC"/>
    <w:rsid w:val="009A3600"/>
    <w:rsid w:val="009A7C00"/>
    <w:rsid w:val="009B28A3"/>
    <w:rsid w:val="009C5397"/>
    <w:rsid w:val="009E0A7A"/>
    <w:rsid w:val="009E324C"/>
    <w:rsid w:val="00A30974"/>
    <w:rsid w:val="00A31E19"/>
    <w:rsid w:val="00A4085F"/>
    <w:rsid w:val="00A42ECE"/>
    <w:rsid w:val="00A45E3F"/>
    <w:rsid w:val="00A479EA"/>
    <w:rsid w:val="00A5043F"/>
    <w:rsid w:val="00A637E0"/>
    <w:rsid w:val="00A754D1"/>
    <w:rsid w:val="00A75FA1"/>
    <w:rsid w:val="00A80EB5"/>
    <w:rsid w:val="00AA00AA"/>
    <w:rsid w:val="00AA6F56"/>
    <w:rsid w:val="00AD0878"/>
    <w:rsid w:val="00AD7F15"/>
    <w:rsid w:val="00AE1872"/>
    <w:rsid w:val="00AE6B0F"/>
    <w:rsid w:val="00B2745E"/>
    <w:rsid w:val="00B47CB7"/>
    <w:rsid w:val="00B557F8"/>
    <w:rsid w:val="00B643C3"/>
    <w:rsid w:val="00B84C39"/>
    <w:rsid w:val="00B920EE"/>
    <w:rsid w:val="00BC64BC"/>
    <w:rsid w:val="00BD7944"/>
    <w:rsid w:val="00BE3643"/>
    <w:rsid w:val="00BF202E"/>
    <w:rsid w:val="00BF6DFC"/>
    <w:rsid w:val="00BF75F7"/>
    <w:rsid w:val="00C210F1"/>
    <w:rsid w:val="00C40490"/>
    <w:rsid w:val="00C4158D"/>
    <w:rsid w:val="00C505BC"/>
    <w:rsid w:val="00C5077F"/>
    <w:rsid w:val="00C5088A"/>
    <w:rsid w:val="00C928A4"/>
    <w:rsid w:val="00CA192D"/>
    <w:rsid w:val="00CA5BF3"/>
    <w:rsid w:val="00CB32F8"/>
    <w:rsid w:val="00CB3533"/>
    <w:rsid w:val="00CB51CD"/>
    <w:rsid w:val="00CD48A0"/>
    <w:rsid w:val="00D1589D"/>
    <w:rsid w:val="00D20915"/>
    <w:rsid w:val="00D25DB6"/>
    <w:rsid w:val="00D446E2"/>
    <w:rsid w:val="00D51188"/>
    <w:rsid w:val="00D55C6A"/>
    <w:rsid w:val="00D708CF"/>
    <w:rsid w:val="00D74551"/>
    <w:rsid w:val="00D76FF6"/>
    <w:rsid w:val="00DB62BD"/>
    <w:rsid w:val="00DC0AC5"/>
    <w:rsid w:val="00E076F7"/>
    <w:rsid w:val="00E271E3"/>
    <w:rsid w:val="00E27369"/>
    <w:rsid w:val="00E27F7F"/>
    <w:rsid w:val="00E32F4E"/>
    <w:rsid w:val="00E33846"/>
    <w:rsid w:val="00E33B48"/>
    <w:rsid w:val="00E53644"/>
    <w:rsid w:val="00E65A18"/>
    <w:rsid w:val="00E7607A"/>
    <w:rsid w:val="00EA0EA8"/>
    <w:rsid w:val="00EA1EFA"/>
    <w:rsid w:val="00EA6CD7"/>
    <w:rsid w:val="00EB09F5"/>
    <w:rsid w:val="00EF034C"/>
    <w:rsid w:val="00EF04C1"/>
    <w:rsid w:val="00F154C9"/>
    <w:rsid w:val="00F256A7"/>
    <w:rsid w:val="00F264F8"/>
    <w:rsid w:val="00F64AB5"/>
    <w:rsid w:val="00F8693A"/>
    <w:rsid w:val="00FA1314"/>
    <w:rsid w:val="00FA67B7"/>
    <w:rsid w:val="00FD290F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D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customStyle="1" w:styleId="Default">
    <w:name w:val="Default"/>
    <w:rsid w:val="00E076F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C53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7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ler.letras.up.pt/uploads/ficheiros/artigo352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2017-02-08T10:52:00Z</dcterms:created>
  <dcterms:modified xsi:type="dcterms:W3CDTF">2021-11-29T15:12:00Z</dcterms:modified>
</cp:coreProperties>
</file>