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“frac“ + ID určené frakce</w:t>
      </w:r>
    </w:p>
    <w:p w14:paraId="293B0893" w14:textId="716698E8"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r>
        <w:t>Save file</w:t>
      </w:r>
      <w:bookmarkEnd w:id="21"/>
    </w:p>
    <w:p w14:paraId="72E8FCC8" w14:textId="5DBB89C0" w:rsidR="00D44A7C" w:rsidRDefault="00D44A7C" w:rsidP="00AA57AF">
      <w:commentRangeStart w:id="22"/>
      <w:r>
        <w:t>Nějakej cool úvod lol</w:t>
      </w:r>
      <w:commentRangeEnd w:id="22"/>
      <w:r>
        <w:rPr>
          <w:rStyle w:val="Odkaznakoment"/>
        </w:rPr>
        <w:commentReference w:id="22"/>
      </w:r>
    </w:p>
    <w:p w14:paraId="7EA07A17" w14:textId="31F73A1B"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w:t>
      </w:r>
      <w:r w:rsidR="00DC107A">
        <w:lastRenderedPageBreak/>
        <w:t>řetězec znaků obsahující veškeré potřebné informace, viz dále, jehož segmenty od sebe budou odděleny znakem = (rovná se).</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Místo, kde se hráč nachází</w:t>
      </w:r>
      <w:r>
        <w:t xml:space="preserve"> := “place:“ + ID místa</w:t>
      </w:r>
    </w:p>
    <w:p w14:paraId="0D18090D" w14:textId="7DC81327" w:rsidR="007A337B" w:rsidRDefault="007A337B" w:rsidP="007A337B">
      <w:pPr>
        <w:ind w:left="705"/>
      </w:pPr>
      <w:r w:rsidRPr="009A201E">
        <w:rPr>
          <w:rStyle w:val="Nadpis4Char"/>
        </w:rPr>
        <w:t>Počet peněz, jenž má</w:t>
      </w:r>
      <w:r>
        <w:t xml:space="preserve"> := “coins:“ + počet peněz</w:t>
      </w:r>
    </w:p>
    <w:p w14:paraId="7F93B2DB" w14:textId="552FDB66" w:rsidR="007A337B" w:rsidRDefault="007A337B" w:rsidP="007A337B">
      <w:pPr>
        <w:ind w:left="705"/>
      </w:pPr>
      <w:r w:rsidRPr="009A201E">
        <w:rPr>
          <w:rStyle w:val="Nadpis4Char"/>
        </w:rPr>
        <w:t>Předměty</w:t>
      </w:r>
      <w:r>
        <w:t xml:space="preserve"> := “items</w:t>
      </w:r>
      <w:r w:rsidR="00315F6F">
        <w:t>:</w:t>
      </w:r>
      <w:r>
        <w:t>“ + ID předmětů oddělené středníky (např.: “items:1;3“)</w:t>
      </w:r>
    </w:p>
    <w:p w14:paraId="2800B6B1" w14:textId="1738CC77" w:rsidR="000F15A7" w:rsidRDefault="000F15A7" w:rsidP="007A337B">
      <w:pPr>
        <w:ind w:left="705"/>
      </w:pPr>
      <w:r w:rsidRPr="009A201E">
        <w:rPr>
          <w:rStyle w:val="Nadpis4Char"/>
        </w:rPr>
        <w:t>Síla</w:t>
      </w:r>
      <w:r>
        <w:t xml:space="preserve"> := “str:“ + číselná hodnota síly hráče</w:t>
      </w:r>
    </w:p>
    <w:p w14:paraId="7908BB1B" w14:textId="77785AC2" w:rsidR="000F15A7" w:rsidRDefault="000F15A7" w:rsidP="007A337B">
      <w:pPr>
        <w:ind w:left="705"/>
      </w:pPr>
      <w:r w:rsidRPr="009A201E">
        <w:rPr>
          <w:rStyle w:val="Nadpis4Char"/>
        </w:rPr>
        <w:t>Rychlost</w:t>
      </w:r>
      <w:r>
        <w:t xml:space="preserve"> := “speed:“ + hodnota rychlosti</w:t>
      </w:r>
    </w:p>
    <w:p w14:paraId="1BB98FE0" w14:textId="474FEF33" w:rsidR="007A337B" w:rsidRDefault="00315F6F" w:rsidP="007A337B">
      <w:pPr>
        <w:ind w:left="705"/>
      </w:pPr>
      <w:r w:rsidRPr="009A201E">
        <w:rPr>
          <w:rStyle w:val="Nadpis4Char"/>
        </w:rPr>
        <w:t>Vztah ke frakcím</w:t>
      </w:r>
      <w:r>
        <w:t xml:space="preserve"> := “relations:“ + hodnoty(definovány stejně jako ve Frakcích) pro každou frakci oddělené ; (středníky). Hodnoty jsou ve stejném pořadí jako indexy frakcí.</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3B2B6C2D" w14:textId="61CBEDA5" w:rsidR="00993D0F" w:rsidRDefault="00B53F73" w:rsidP="00993D0F">
      <w:pPr>
        <w:ind w:left="705"/>
      </w:pPr>
      <w:r w:rsidRPr="003B1D75">
        <w:rPr>
          <w:rStyle w:val="Nadpis4Char"/>
        </w:rPr>
        <w:t>Linie</w:t>
      </w:r>
      <w:r>
        <w:t xml:space="preserve"> := “line:“ + ID úkolové linie, kterou plní</w:t>
      </w:r>
      <w:r w:rsidR="009A201E">
        <w:br/>
      </w:r>
      <w:r w:rsidR="009A201E" w:rsidRPr="009A201E">
        <w:rPr>
          <w:rStyle w:val="Nadpis4Char"/>
        </w:rPr>
        <w:t>Fáze</w:t>
      </w:r>
      <w:r w:rsidR="009A201E">
        <w:t xml:space="preserve"> := “phase:“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“stage:“ + konkrétní stav (viz níže)</w:t>
      </w:r>
      <w:r w:rsidR="008C7353">
        <w:br/>
      </w:r>
      <w:r w:rsidR="00993D0F">
        <w:t>Rozlišujeme 3 různé stavy:</w:t>
      </w:r>
      <w:r w:rsidR="00993D0F">
        <w:br/>
        <w:t>Fáze ještě nezačala = postava teprve musí dojít do výchozího místa</w:t>
      </w:r>
      <w:r w:rsidR="00D80E73">
        <w:t xml:space="preserve"> (“tostart“)</w:t>
      </w:r>
      <w:r w:rsidR="00993D0F">
        <w:br/>
        <w:t>Fáze právě probíhá = postava se musí dostavit na určené místo</w:t>
      </w:r>
      <w:r w:rsidR="00D80E73">
        <w:t xml:space="preserve"> (“inprogress“)</w:t>
      </w:r>
      <w:r w:rsidR="00993D0F">
        <w:br/>
        <w:t>Fáze právě skončila = postava se dostavila na určené místo a provede zadanou akci</w:t>
      </w:r>
      <w:r w:rsidR="00D80E73">
        <w:t xml:space="preserve"> (“ended“)</w:t>
      </w:r>
    </w:p>
    <w:p w14:paraId="6768AE94" w14:textId="57D39A80" w:rsidR="00A975FD" w:rsidRDefault="00A975FD" w:rsidP="00A975FD">
      <w:pPr>
        <w:ind w:left="705"/>
      </w:pPr>
      <w:r w:rsidRPr="00A975FD">
        <w:lastRenderedPageBreak/>
        <w:t>Pokud postava žádný úkol neplní, tak bude za všemi klíčovými slovy a dvojtečkou prázdný řetězec (</w:t>
      </w:r>
      <w:r w:rsidR="00DF3A4E">
        <w:t>úkolová část postavy pak bude vypadat následovně: “</w:t>
      </w:r>
      <w:r>
        <w:t>line:phase:stage:“</w:t>
      </w:r>
      <w:r w:rsidRPr="00A975FD">
        <w:t>)</w:t>
      </w:r>
    </w:p>
    <w:p w14:paraId="6757170A" w14:textId="131BC46F" w:rsidR="005E296E" w:rsidRPr="000D39ED" w:rsidRDefault="005E296E" w:rsidP="000D39ED">
      <w:r>
        <w:tab/>
      </w:r>
    </w:p>
    <w:sectPr w:rsidR="005E296E"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3"/>
  </w:num>
  <w:num w:numId="3" w16cid:durableId="2070953575">
    <w:abstractNumId w:val="2"/>
  </w:num>
  <w:num w:numId="4" w16cid:durableId="938564136">
    <w:abstractNumId w:val="0"/>
  </w:num>
  <w:num w:numId="5" w16cid:durableId="7320032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7BE8"/>
    <w:rsid w:val="002B6262"/>
    <w:rsid w:val="002F73C4"/>
    <w:rsid w:val="0031136D"/>
    <w:rsid w:val="00315F6F"/>
    <w:rsid w:val="003B1D75"/>
    <w:rsid w:val="00451693"/>
    <w:rsid w:val="004A1429"/>
    <w:rsid w:val="004B1CE0"/>
    <w:rsid w:val="00565916"/>
    <w:rsid w:val="005A5A2C"/>
    <w:rsid w:val="005A7F86"/>
    <w:rsid w:val="005C0DE3"/>
    <w:rsid w:val="005C6464"/>
    <w:rsid w:val="005C676E"/>
    <w:rsid w:val="005E296E"/>
    <w:rsid w:val="005F67CC"/>
    <w:rsid w:val="00644D1B"/>
    <w:rsid w:val="00681BC0"/>
    <w:rsid w:val="006B3D3C"/>
    <w:rsid w:val="006E2DD6"/>
    <w:rsid w:val="007055F6"/>
    <w:rsid w:val="007A337B"/>
    <w:rsid w:val="008836A0"/>
    <w:rsid w:val="008A675B"/>
    <w:rsid w:val="008C3B29"/>
    <w:rsid w:val="008C7353"/>
    <w:rsid w:val="008D27E1"/>
    <w:rsid w:val="008D42A5"/>
    <w:rsid w:val="008D5062"/>
    <w:rsid w:val="008E09EA"/>
    <w:rsid w:val="00933593"/>
    <w:rsid w:val="009508E1"/>
    <w:rsid w:val="00951B9E"/>
    <w:rsid w:val="00957BA5"/>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D44A7C"/>
    <w:rsid w:val="00D474AD"/>
    <w:rsid w:val="00D80E73"/>
    <w:rsid w:val="00DA58E9"/>
    <w:rsid w:val="00DC107A"/>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7</Pages>
  <Words>1520</Words>
  <Characters>8970</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37</cp:revision>
  <dcterms:created xsi:type="dcterms:W3CDTF">2023-01-28T12:26:00Z</dcterms:created>
  <dcterms:modified xsi:type="dcterms:W3CDTF">2023-02-04T15:34:00Z</dcterms:modified>
</cp:coreProperties>
</file>