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line="276" w:lineRule="auto" w:after="60" w:before="120"/>
      </w:pPr>
      <w:r>
        <w:rPr>
          <w:rFonts w:ascii="Google Sans" w:hAnsi="Google Sans" w:cs="Google Sans"/>
          <w:color w:val="1f1f1f"/>
        </w:rPr>
        <w:t xml:space="preserve">PROJECT STATUS REPORT</w:t>
      </w:r>
    </w:p>
    <w:p>
      <w:pPr>
        <w:pStyle w:val="Heading1"/>
        <w:jc w:val="center"/>
        <w:spacing w:line="276" w:lineRule="auto" w:after="240"/>
      </w:pPr>
      <w:r>
        <w:rPr>
          <w:rFonts w:ascii="Google Sans" w:hAnsi="Google Sans" w:cs="Google Sans"/>
          <w:color w:val="1f1f1f"/>
        </w:rPr>
        <w:t xml:space="preserve">(BÁO CÁO TÌNH TRẠNG DỰ ÁN)</w:t>
      </w:r>
    </w:p>
    <w:p>
      <w:pPr>
        <w:spacing w:line="276" w:lineRule="auto" w:after="60"/>
      </w:pPr>
      <w:r>
        <w:rPr>
          <w:rFonts w:ascii="Google Sans Text" w:hAnsi="Google Sans Text" w:cs="Google Sans Text"/>
          <w:b/>
          <w:bCs/>
          <w:color w:val="1f1f1f"/>
        </w:rPr>
        <w:t xml:space="preserve">Dự Án: FocusFlow — Hệ thống hỗ trợ lập kế hoạch và thực thi lộ trình tự học thích ứng tích hợp AI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Kỳ Báo Cáo: Tuần 3 - Từ ngày 11/09/2026 đến ngày 17/09/2026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Người Lập Báo Cáo: Vũ Toàn Thắng (Project Manager)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Gửi Đến: ThS. Vũ Đình Bảo (Giảng viên Hướng dẫn — Khoa Công nghệ Thông tin, HCMUTE)</w:t>
      </w:r>
    </w:p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>Ngày Gửi: 17/09/2026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1. EXECUTIVE SUMMARY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Đánh giá tổng quan về "sức khỏe" dự án thông qua hệ thống đèn tín hiệu (RAG Status).</w:t>
      </w:r>
    </w:p>
    <w:tbl>
      <w:tblPr>
        <w:tblStyle w:val="Table1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00"/>
        <w:gridCol w:w="1600"/>
        <w:gridCol w:w="556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Diễn giải ngắn gọn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Tiến độ (Schedule)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 Phase 1 đúng thời hạn 21 ngày; đạt mốc Milestone 1 quan trọng của dự án.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Phạm vi (Scope)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Hồ sơ SRS v1.0 được đóng băng cơ sở (Baseline Freeze), bảo đảm không bị Scope Creep trong các giai đoạn sau.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Chất lượng (Quality)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thiện Ma trận truy vết 100% từ Vấn đề bài toán -&gt; KPIs -&gt; Yêu cầu chức năng -&gt; NFRs định lượng.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Rủi ro (Risk)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Đã báo cáo kết quả Phase 1 với ThS. Vũ Đình Bảo và nhận được định hướng chuyển tiếp sang Phase 2.</w:t>
            </w:r>
          </w:p>
        </w:tc>
      </w:tr>
    </w:tbl>
    <w:p>
      <w:pPr>
        <w:spacing w:line="276" w:lineRule="auto" w:after="60" w:before="120"/>
      </w:pPr>
      <w:r>
        <w:rPr>
          <w:rFonts w:ascii="Google Sans Text" w:hAnsi="Google Sans Text" w:cs="Google Sans Text"/>
          <w:b/>
          <w:bCs/>
          <w:color w:val="1f1f1f"/>
        </w:rPr>
        <w:t xml:space="preserve">Chú thích: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2e7d32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Green (Xanh): </w:t>
      </w:r>
      <w:r>
        <w:rPr>
          <w:rFonts w:ascii="Google Sans Text" w:hAnsi="Google Sans Text" w:cs="Google Sans Text"/>
          <w:color w:val="1f1f1f"/>
        </w:rPr>
        <w:t xml:space="preserve">Ổn định, không có vấn đề lớn.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f57c00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Amber (Vàng): </w:t>
      </w:r>
      <w:r>
        <w:rPr>
          <w:rFonts w:ascii="Google Sans Text" w:hAnsi="Google Sans Text" w:cs="Google Sans Text"/>
          <w:color w:val="1f1f1f"/>
        </w:rPr>
        <w:t xml:space="preserve">Có rủi ro tiềm ẩn hoặc chậm trễ nhẹ, cần chú ý.</w:t>
      </w:r>
    </w:p>
    <w:p>
      <w:pPr>
        <w:spacing w:after="240" w:before="0" w:line="276" w:lineRule="auto"/>
      </w:pPr>
      <w:r>
        <w:rPr>
          <w:rFonts w:ascii="Google Sans Text" w:hAnsi="Google Sans Text" w:cs="Google Sans Text"/>
          <w:b/>
          <w:color w:val="c62828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Red (Đỏ): </w:t>
      </w:r>
      <w:r>
        <w:rPr>
          <w:rFonts w:ascii="Google Sans Text" w:hAnsi="Google Sans Text" w:cs="Google Sans Text"/>
          <w:color w:val="1f1f1f"/>
        </w:rPr>
        <w:t xml:space="preserve">Vấn đề nghiêm trọng, cần sự can thiệp ngay lập tức từ cấp trên.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2. HOẠT ĐỘNG ĐÃ HOÀN THÀNH TRONG KỲ (ACCOMPLISHMENTS)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Liệt kê các công việc đã làm được trong tuần qua so với kế hoạch ban đầu.</w:t>
      </w:r>
    </w:p>
    <w:tbl>
      <w:tblPr>
        <w:tblStyle w:val="Table2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100"/>
        <w:gridCol w:w="1900"/>
        <w:gridCol w:w="1560"/>
        <w:gridCol w:w="20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/ 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Kết quả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Ghi chú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thiện toàn diện tài liệu Software Requirements Specification (SRS v1.0)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Tuân thủ chuẩn ISO/IEC/IEEE 29148:2018 với 8 nhóm FRs và 5 NFRs định lượng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lập ma trận truy vết yêu cầu (Requirement Traceability Matrix)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Đảm bảo tính khả chứng và liên kết 2 chiều giữa bài toán thực tế và chức năng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Rà soát, thẩm định và chính thức đóng băng yêu cầu (Baseline Freeze)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 &amp; 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Cả 2 thành viên ký duyệt baseline, sẵn sàng cho công tác phân tích thiết kế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3. KẾ HOẠCH THỰC HIỆN KỲ TỚI (PLANNED ACTIVITIES)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Danh sách các công việc dự kiến làm trong tuần tiếp theo, bao gồm cả các thay đổi về nguồn lực hoặc lịch trình nếu có.</w:t>
      </w:r>
    </w:p>
    <w:tbl>
      <w:tblPr>
        <w:tblStyle w:val="Table3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960"/>
        <w:gridCol w:w="2000"/>
        <w:gridCol w:w="1300"/>
        <w:gridCol w:w="13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dự kiến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Deadline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ưu tiên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3.1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Use Case Diagram tổng thể &amp; Đặc tả kịch bản Use Case chi tiết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23/09/2026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3.2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kế Activity Diagrams (Onboarding, AI Scheduling, Session Execution)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4.1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Khởi động nghiên cứu kiến trúc phần mềm tổng thể (Layered Architecture / C4 Model)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02/10/2026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4. QUẢN LÝ VẤN ĐỀ &amp; RỦI RO (ISSUES &amp; RISKS)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Phần quan trọng nhất để báo cáo các vấn đề mở (Open Issues) và kế hoạch hành động.</w:t>
      </w:r>
    </w:p>
    <w:tbl>
      <w:tblPr>
        <w:tblStyle w:val="Table4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"/>
        <w:gridCol w:w="2760"/>
        <w:gridCol w:w="1300"/>
        <w:gridCol w:w="2500"/>
        <w:gridCol w:w="1100"/>
        <w:gridCol w:w="8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Loại (Type)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Mô tả vấn đề / Rủi ro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tác động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 hoạch giải quyết (Action Plan)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xử lý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Risk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Nguy cơ độ trễ phản hồi từ dịch vụ AI vượt quá giới hạn cam kết (NFR 1: &lt;= 60s)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Cao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lập ngắt cứng (Hard Timeout) ở giây thứ 55, trả về mã lỗi có cấu trúc kèm tùy chọn Thử lại hoặc Tạo kế hoạch thủ công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Monitor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Risk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Sự thiếu nhất quán giữa mô hình ca sử dụng (Use Case) và kiến trúc cơ sở dữ liệu sau này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Trung bình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Thống nhất quy trình chuyển giao: Use Case &amp; Activity Diagram -&gt; Sequence Diagram -&gt; Database Diagram &amp; API specs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Open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5. CÁC MỐC QUAN TRỌNG SẮP TỚI (UPCOMING MILESTONES)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i/>
          <w:iCs/>
          <w:color w:val="1f1f1f"/>
        </w:rPr>
        <w:t xml:space="preserve">Theo dõi các mốc bàn giao chính (Deliverables) để đảm bảo không bị trượt deadline tổng.</w:t>
      </w:r>
    </w:p>
    <w:tbl>
      <w:tblPr>
        <w:tblStyle w:val="Table5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360"/>
        <w:gridCol w:w="1800"/>
        <w:gridCol w:w="1800"/>
        <w:gridCol w:w="14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Mốc sự kiện (Milestone)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theo kế hoạch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dự kiến thực tế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thiện Hồ sơ Yêu cầu &amp; Đặc tả SRS v1.0 (Milestone 1)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Completed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Thiết kế Kiến trúc &amp; Database Diagram (Milestone 2)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On-track</w:t>
            </w:r>
          </w:p>
        </w:tc>
      </w:tr>
    </w:tbl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