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más del sesenta por ciento del hato bovino nacional, distribuido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más del sesenta por ciento del hato bovino de Bolivia.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DISEÑO DE INVESTIGACIÓN</w:t>
      </w:r>
    </w:p>
    <w:p>
      <w:pPr>
        <w:pStyle w:val="Heading2"/>
        <w:spacing w:after="180" w:before="300" w:line="360"/>
      </w:pPr>
      <w:r>
        <w:rPr>
          <w:rFonts w:ascii="Arial" w:cs="Arial" w:eastAsia="Arial" w:hAnsi="Arial"/>
          <w:b/>
          <w:bCs/>
          <w:i/>
          <w:iCs/>
          <w:sz w:val="24"/>
          <w:szCs w:val="24"/>
        </w:rPr>
        <w:t xml:space="preserve">3.3.1.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3.3.2.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3.3.3.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3.3.4.	INDICADORES DE EVALUACIÓN</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3.3.5.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3.4.	TÉCNICAS DE RECOLECCIÓN DE INFORMACIÓN</w:t>
      </w:r>
    </w:p>
    <w:p>
      <w:pPr>
        <w:pStyle w:val="Heading2"/>
        <w:spacing w:after="180" w:before="300" w:line="360"/>
      </w:pPr>
      <w:r>
        <w:rPr>
          <w:rFonts w:ascii="Arial" w:cs="Arial" w:eastAsia="Arial" w:hAnsi="Arial"/>
          <w:b/>
          <w:bCs/>
          <w:i/>
          <w:iCs/>
          <w:sz w:val="24"/>
          <w:szCs w:val="24"/>
        </w:rPr>
        <w:t xml:space="preserve">3.4.1.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3.4.2.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3.4.3.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3.4.4.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3.4.5.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3.5.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3.5.1.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3.5.2.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3.5.3.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3.5.4.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3.5.5.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3.5.6.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3.5.7.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3.5.8.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3.6.	MÉTODOS DE EVALUACIÓN</w:t>
      </w:r>
    </w:p>
    <w:p>
      <w:pPr>
        <w:pStyle w:val="Heading2"/>
        <w:spacing w:after="180" w:before="300" w:line="360"/>
      </w:pPr>
      <w:r>
        <w:rPr>
          <w:rFonts w:ascii="Arial" w:cs="Arial" w:eastAsia="Arial" w:hAnsi="Arial"/>
          <w:b/>
          <w:bCs/>
          <w:i/>
          <w:iCs/>
          <w:sz w:val="24"/>
          <w:szCs w:val="24"/>
        </w:rPr>
        <w:t xml:space="preserve">3.6.1.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3.6.2.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3.6.3.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3.6.4.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3.6.5.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3.6.6.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3.6.7.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3.7.	CONSIDERACIONES ÉTICAS Y DE SEGURIDAD</w:t>
      </w:r>
    </w:p>
    <w:p>
      <w:pPr>
        <w:pStyle w:val="Heading2"/>
        <w:spacing w:after="180" w:before="300" w:line="360"/>
      </w:pPr>
      <w:r>
        <w:rPr>
          <w:rFonts w:ascii="Arial" w:cs="Arial" w:eastAsia="Arial" w:hAnsi="Arial"/>
          <w:b/>
          <w:bCs/>
          <w:i/>
          <w:iCs/>
          <w:sz w:val="24"/>
          <w:szCs w:val="24"/>
        </w:rPr>
        <w:t xml:space="preserve">3.7.1.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3.7.2.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3.7.3.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3.7.4.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3.7.5.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3.7.6.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3.7,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3.7.6.</w:t>
      </w:r>
    </w:p>
    <w:p>
      <w:pPr>
        <w:pStyle w:val="Heading2"/>
        <w:spacing w:after="180" w:before="300" w:line="360"/>
      </w:pPr>
      <w:r>
        <w:rPr>
          <w:rFonts w:ascii="Arial" w:cs="Arial" w:eastAsia="Arial" w:hAnsi="Arial"/>
          <w:b/>
          <w:bCs/>
          <w:i/>
          <w:iCs/>
          <w:sz w:val="24"/>
          <w:szCs w:val="24"/>
        </w:rPr>
        <w:t xml:space="preserve">5.6.4.	RIESGOS TÉCNICOS Y MITIGACIONES</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 implementados; sanidad y alertas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El Incremento 1 está construido en su totalidad y verificado mediante pruebas automatizadas; del Incremento 2 está construida la parte de inventario y trazabilidad. Los incrementos restantes cuentan con su diseño completo —requisitos, casos de uso, modelo de datos y arquitectura— documentado en los capítulos anteriores, y su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corresponde al Incremento 1 completo —identidad, accesos y motor de sincronización— y al inventario bovino del Incremento 2.</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del Incremento 1.</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Los veintiún escenarios ejecutados —nueve sobre la interfaz de programación y doce sobre la base local— se completaron con el resultado esperado. La operación sin conexión quedó verificada en su propiedad esencial: un alta realizada sin red queda disponible de inmediato para consulta en el mismo dispositivo y se consolida sin pérdida ni duplicación cuando la conexión se restablece.</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tres incidencias que conviene documentar, porque el valor de una prueba reside precisamente en lo que descubre.</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a RF7, RF9, RF11 a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documentada en la sección 6.5. Su alcance es el del código construido, y no permite afirmar nada sobre los componentes que permanecen en estado de diseño.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3.6.3.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y el motor de sincronización, que constituyen el Incremento 1 completo y la parte de inventario del Incremento 2. Los módulos de sanidad, pesaje, reproducción, comercialización y reportes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veintiún escenarios verificados.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Veintiún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el cifrado de la base local está pendiente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spacing w:after="480"/>
        <w:jc w:val="center"/>
      </w:pPr>
      <w:r>
        <w:rPr>
          <w:rFonts w:ascii="Arial" w:cs="Arial" w:eastAsia="Arial" w:hAnsi="Arial"/>
          <w:b/>
          <w:bCs/>
          <w:sz w:val="26"/>
          <w:szCs w:val="26"/>
        </w:rPr>
        <w:t xml:space="preserve"/>
      </w:r>
    </w:p>
    <w:p>
      <w:pPr>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construyó y verificó el Incremento 1 completo —identidad, accesos y motor de sincronización— junto con el inventario bovino del Incremento 2. El alcance alcanzado cubre precisamente los componentes de mayor riesgo técnico del sistema: la operación sin conexión y la consolidación de datos divergentes.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veintiún escenarios automatizados,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p>
    <w:p>
      <w:r>
        <w:br w:type="page"/>
      </w:r>
    </w:p>
    <w:p>
      <w:pPr>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 sobre el dispositivo de referencia.</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a52004d2cdd2cf8c11ff61879f43493a54b449.png"/><Relationship Id="rId9" Type="http://schemas.openxmlformats.org/officeDocument/2006/relationships/image" Target="media/b19c092a39c829d67f08861054f2f34451e21821.png"/><Relationship Id="rId10" Type="http://schemas.openxmlformats.org/officeDocument/2006/relationships/image" Target="media/7b0fb474cb737feae3a649e391212fe3f8fef626.png"/><Relationship Id="rId11" Type="http://schemas.openxmlformats.org/officeDocument/2006/relationships/image" Target="media/697afa33206d1295e32fc1ee743a70fa96e47c4b.png"/><Relationship Id="rId12" Type="http://schemas.openxmlformats.org/officeDocument/2006/relationships/image" Target="media/8ad656b562f67d9a48a9693111680757976d985e.png"/><Relationship Id="rId13" Type="http://schemas.openxmlformats.org/officeDocument/2006/relationships/image" Target="media/52d8d1384e255c84794d52998b1420772ea01b29.png"/><Relationship Id="rId14" Type="http://schemas.openxmlformats.org/officeDocument/2006/relationships/image" Target="media/f8064500999df27c52f995445b67cb3a873eb1ff.png"/><Relationship Id="rId15" Type="http://schemas.openxmlformats.org/officeDocument/2006/relationships/image" Target="media/999d09fd0db9f93ed0849cbc1fc5cd5a076ae050.png"/><Relationship Id="rId16" Type="http://schemas.openxmlformats.org/officeDocument/2006/relationships/image" Target="media/287407dce583232a09d7c8a6023715f17f8f37d3.png"/><Relationship Id="rId17" Type="http://schemas.openxmlformats.org/officeDocument/2006/relationships/image" Target="media/ace0bf388601354f0157ccddca4e5946a3ff771a.png"/><Relationship Id="rId18" Type="http://schemas.openxmlformats.org/officeDocument/2006/relationships/image" Target="media/80b4baf6233fc247fcff54d8ae2c7915fed97a32.png"/><Relationship Id="rId19" Type="http://schemas.openxmlformats.org/officeDocument/2006/relationships/image" Target="media/9095b750c8263e2daaded1b311b53712aacab602.png"/><Relationship Id="rId20" Type="http://schemas.openxmlformats.org/officeDocument/2006/relationships/image" Target="media/74976b77a6946fb41bd3a31b89ef184bdfe3e43c.png"/><Relationship Id="rId21" Type="http://schemas.openxmlformats.org/officeDocument/2006/relationships/image" Target="media/a4eec3283b6fded066327be99261acf655cf9c22.png"/><Relationship Id="rId22" Type="http://schemas.openxmlformats.org/officeDocument/2006/relationships/image" Target="media/c5175288991200b94ea245a4950ac69e1c4d4076.png"/><Relationship Id="rId23" Type="http://schemas.openxmlformats.org/officeDocument/2006/relationships/image" Target="media/770ab90fe4d78f5e24e1fb9c2a14d4f7fdcba9ce.png"/><Relationship Id="rId24" Type="http://schemas.openxmlformats.org/officeDocument/2006/relationships/image" Target="media/1d8c4372cde51599f02616de4347045c68f9232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2026-10-02T00:12:21.993Z</dcterms:created>
  <dcterms:modified xsi:type="dcterms:W3CDTF">2026-10-02T00:12:21.994Z</dcterms:modified>
</cp:coreProperties>
</file>

<file path=docProps/custom.xml><?xml version="1.0" encoding="utf-8"?>
<Properties xmlns="http://schemas.openxmlformats.org/officeDocument/2006/custom-properties" xmlns:vt="http://schemas.openxmlformats.org/officeDocument/2006/docPropsVTypes"/>
</file>