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Progress</w:t>
      </w:r>
    </w:p>
    <w:p>
      <w:pPr>
        <w:pStyle w:val="Author"/>
      </w:pPr>
      <w:r>
        <w:t xml:space="preserve">Kaveh</w:t>
      </w:r>
    </w:p>
    <w:p>
      <w:pPr>
        <w:pStyle w:val="Date"/>
      </w:pPr>
      <w:r>
        <w:t xml:space="preserve">12/29/2020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project-progress"/>
      <w:r>
        <w:t xml:space="preserve">Project Progress</w:t>
      </w:r>
      <w:bookmarkEnd w:id="20"/>
    </w:p>
    <w:p>
      <w:pPr>
        <w:pStyle w:val="FirstParagraph"/>
      </w:pPr>
      <w:r>
        <w:t xml:space="preserve">Recent progress on my project has been centered around the calibration of NutsFor towards the 4 base case</w:t>
      </w:r>
      <w:r>
        <w:t xml:space="preserve"> </w:t>
      </w:r>
      <w:r>
        <w:t xml:space="preserve">sites I’m representing in my work. I first started by exploring the model, shifting its parameters and</w:t>
      </w:r>
      <w:r>
        <w:t xml:space="preserve"> </w:t>
      </w:r>
      <w:r>
        <w:t xml:space="preserve">observing outputs. I did this by writing a R program that reads NutsFor data files and visualizes them after</w:t>
      </w:r>
      <w:r>
        <w:t xml:space="preserve"> </w:t>
      </w:r>
      <w:r>
        <w:t xml:space="preserve">each model run. Once I understood how the model’s parameters functioned together, I calibrated the model by</w:t>
      </w:r>
      <w:r>
        <w:t xml:space="preserve"> </w:t>
      </w:r>
      <w:r>
        <w:t xml:space="preserve">individually calibrating each sub-module within the larger model. The order of calibration was:</w:t>
      </w:r>
    </w:p>
    <w:p>
      <w:pPr>
        <w:pStyle w:val="BodyText"/>
      </w:pPr>
      <w:r>
        <w:t xml:space="preserve">1). Hydrology</w:t>
      </w:r>
    </w:p>
    <w:p>
      <w:pPr>
        <w:pStyle w:val="BodyText"/>
      </w:pPr>
      <w:r>
        <w:t xml:space="preserve">I used evaporation data for the Oregon Coast region</w:t>
      </w:r>
      <w:r>
        <w:t xml:space="preserve">(Safley et al. 2009)</w:t>
      </w:r>
      <w:r>
        <w:t xml:space="preserve">, and drainage data from</w:t>
      </w:r>
      <w:r>
        <w:t xml:space="preserve"> </w:t>
      </w:r>
      <w:r>
        <w:t xml:space="preserve">(Perakis and Sinkhorn 2011)</w:t>
      </w:r>
      <w:r>
        <w:t xml:space="preserve"> </w:t>
      </w:r>
      <w:r>
        <w:t xml:space="preserve">to calibrate evapotranspiration and water leaching fluxes</w:t>
      </w:r>
      <w:r>
        <w:t xml:space="preserve"> </w:t>
      </w:r>
      <w:r>
        <w:t xml:space="preserve">in my simulated sites. I assumed the same hydrological outputs between the basalt and sedimentary sites.</w:t>
      </w:r>
      <w:r>
        <w:t xml:space="preserve"> </w:t>
      </w:r>
      <w:r>
        <w:t xml:space="preserve">I also assumed that hydrology was constant over time,</w:t>
      </w:r>
    </w:p>
    <w:p>
      <w:pPr>
        <w:pStyle w:val="CaptionedFigure"/>
      </w:pPr>
      <w:r>
        <w:drawing>
          <wp:inline>
            <wp:extent cx="5334000" cy="2956192"/>
            <wp:effectExtent b="0" l="0" r="0" t="0"/>
            <wp:docPr descr="Workflow showing calibration proccess of hydrological sub-module." title="" id="1" name="Picture"/>
            <a:graphic>
              <a:graphicData uri="http://schemas.openxmlformats.org/drawingml/2006/picture">
                <pic:pic>
                  <pic:nvPicPr>
                    <pic:cNvPr descr="Images/Hyd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 showing calibration proccess of hydrological sub-module.</w:t>
      </w:r>
    </w:p>
    <w:p>
      <w:pPr>
        <w:pStyle w:val="BodyText"/>
      </w:pPr>
      <w:r>
        <w:t xml:space="preserve">2). Through fall and Deposition</w:t>
      </w:r>
    </w:p>
    <w:p>
      <w:pPr>
        <w:pStyle w:val="BodyText"/>
      </w:pPr>
      <w:r>
        <w:t xml:space="preserve">Little was known about throughfall concentrations within the range of interest. Nearby throughfall data</w:t>
      </w:r>
      <w:r>
        <w:t xml:space="preserve"> </w:t>
      </w:r>
      <w:r>
        <w:t xml:space="preserve">was confounded by site rain chemistry differences</w:t>
      </w:r>
      <w:r>
        <w:t xml:space="preserve"> </w:t>
      </w:r>
      <w:r>
        <w:t xml:space="preserve">(Sollins et al. 1980)</w:t>
      </w:r>
      <w:r>
        <w:t xml:space="preserve">. I instead made no</w:t>
      </w:r>
      <w:r>
        <w:t xml:space="preserve"> </w:t>
      </w:r>
      <w:r>
        <w:t xml:space="preserve">assumptions about throughfall concentrations, except for</w:t>
      </w:r>
      <w:r>
        <w:t xml:space="preserve"> </w:t>
      </w:r>
      <m:oMath>
        <m:sSup>
          <m:e>
            <m:r>
              <m:t>K</m:t>
            </m:r>
          </m:e>
          <m:sup>
            <m:r>
              <m:t>+</m:t>
            </m:r>
          </m:sup>
        </m:sSup>
      </m:oMath>
      <w:r>
        <w:t xml:space="preserve">, which is generally known to leach in high</w:t>
      </w:r>
      <w:r>
        <w:t xml:space="preserve"> </w:t>
      </w:r>
      <w:r>
        <w:t xml:space="preserve">concentrations from leaf and needle surfaces</w:t>
      </w:r>
      <w:r>
        <w:t xml:space="preserve"> </w:t>
      </w:r>
      <w:r>
        <w:t xml:space="preserve">(Sollins et al. 1980; Tukey 1970)</w:t>
      </w:r>
      <w:r>
        <w:t xml:space="preserve">.</w:t>
      </w:r>
    </w:p>
    <w:p>
      <w:pPr>
        <w:pStyle w:val="BodyText"/>
      </w:pPr>
      <w:r>
        <w:t xml:space="preserve">Similar to throughfall concentrations, little was known about Dry deposition of nutrient elements, I thus made no</w:t>
      </w:r>
      <w:r>
        <w:t xml:space="preserve"> </w:t>
      </w:r>
      <w:r>
        <w:t xml:space="preserve">assumptions about the input of nutrients from dry deposition.</w:t>
      </w:r>
    </w:p>
    <w:p>
      <w:pPr>
        <w:pStyle w:val="BodyText"/>
      </w:pPr>
      <w:r>
        <w:t xml:space="preserve">|Wet deposition data was taken from the National Atmospheric Deposition Progam’s wet deposition data taken for</w:t>
      </w:r>
      <w:r>
        <w:t xml:space="preserve"> </w:t>
      </w:r>
      <w:r>
        <w:t xml:space="preserve">the ALSEA OR02 site</w:t>
      </w:r>
      <w:r>
        <w:t xml:space="preserve"> </w:t>
      </w:r>
      <w:r>
        <w:t xml:space="preserve">(“National Atmospheric Deposition Program (NRSP-3).” 2020)</w:t>
      </w:r>
      <w:r>
        <w:t xml:space="preserve">. Rainfall concentrations for the years of 2005-2006 were</w:t>
      </w:r>
      <w:r>
        <w:t xml:space="preserve"> </w:t>
      </w:r>
      <w:r>
        <w:t xml:space="preserve">used for the calibration of the model, and repeated over the length of the simulation for predictive simulations.</w:t>
      </w:r>
      <w:r>
        <w:t xml:space="preserve"> </w:t>
      </w:r>
      <w:r>
        <w:t xml:space="preserve">This was necessary as NADP monitoring for the ALSEA site stopped in 2007.</w:t>
      </w:r>
    </w:p>
    <w:p>
      <w:pPr>
        <w:pStyle w:val="CaptionedFigure"/>
      </w:pPr>
      <w:r>
        <w:drawing>
          <wp:inline>
            <wp:extent cx="5334000" cy="3666937"/>
            <wp:effectExtent b="0" l="0" r="0" t="0"/>
            <wp:docPr descr="Workflow showing calibration proccess of throughfall and deposition." title="" id="1" name="Picture"/>
            <a:graphic>
              <a:graphicData uri="http://schemas.openxmlformats.org/drawingml/2006/picture">
                <pic:pic>
                  <pic:nvPicPr>
                    <pic:cNvPr descr="Images/THRU_DE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 showing calibration proccess of throughfall and deposition.</w:t>
      </w:r>
    </w:p>
    <w:p>
      <w:pPr>
        <w:pStyle w:val="BodyText"/>
      </w:pPr>
      <w:r>
        <w:t xml:space="preserve">3). Soil Organic Matter</w:t>
      </w:r>
    </w:p>
    <w:p>
      <w:pPr>
        <w:pStyle w:val="BodyText"/>
      </w:pPr>
      <w:r>
        <w:t xml:space="preserve">Litter C pool and SOM C pool content was calibrated using decomposition parameters in the model. The litter</w:t>
      </w:r>
      <w:r>
        <w:t xml:space="preserve"> </w:t>
      </w:r>
      <w:r>
        <w:t xml:space="preserve">C pool was allowed to build up over time following data from</w:t>
      </w:r>
      <w:r>
        <w:t xml:space="preserve"> </w:t>
      </w:r>
      <w:r>
        <w:t xml:space="preserve">(Cole et al. 1995; Tarrant and Miller 1963; and Klopatek 2008)</w:t>
      </w:r>
      <w:r>
        <w:t xml:space="preserve">.</w:t>
      </w:r>
      <w:r>
        <w:t xml:space="preserve"> </w:t>
      </w:r>
      <w:r>
        <w:t xml:space="preserve">The SOM C pool was kept stable over the initial short term calibration, the idea is to keep</w:t>
      </w:r>
      <w:r>
        <w:t xml:space="preserve"> </w:t>
      </w:r>
      <w:r>
        <w:t xml:space="preserve">SOM C stable over the entire simulation time period (~500 years).</w:t>
      </w:r>
    </w:p>
    <w:p>
      <w:pPr>
        <w:pStyle w:val="BodyText"/>
      </w:pPr>
      <w:r>
        <w:t xml:space="preserve">Once the SOM C and Litter C buildup matched observed trends and roughly aligned with</w:t>
      </w:r>
      <w:r>
        <w:t xml:space="preserve"> </w:t>
      </w:r>
      <w:r>
        <w:t xml:space="preserve">the known magnitude of C buildup, parameters were accepted.</w:t>
      </w:r>
    </w:p>
    <w:p>
      <w:pPr>
        <w:pStyle w:val="CaptionedFigure"/>
      </w:pPr>
      <w:r>
        <w:drawing>
          <wp:inline>
            <wp:extent cx="5334000" cy="2689521"/>
            <wp:effectExtent b="0" l="0" r="0" t="0"/>
            <wp:docPr descr="Workflow showing calibration proccess of prganic layers." title="" id="1" name="Picture"/>
            <a:graphic>
              <a:graphicData uri="http://schemas.openxmlformats.org/drawingml/2006/picture">
                <pic:pic>
                  <pic:nvPicPr>
                    <pic:cNvPr descr="Images/OM_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 showing calibration proccess of prganic layers.</w:t>
      </w:r>
    </w:p>
    <w:p>
      <w:pPr>
        <w:pStyle w:val="BodyText"/>
      </w:pPr>
      <w:r>
        <w:t xml:space="preserve">4). Anion Calibration</w:t>
      </w:r>
    </w:p>
    <w:p>
      <w:pPr>
        <w:pStyle w:val="CaptionedFigure"/>
      </w:pPr>
      <w:r>
        <w:drawing>
          <wp:inline>
            <wp:extent cx="5334000" cy="3591607"/>
            <wp:effectExtent b="0" l="0" r="0" t="0"/>
            <wp:docPr descr="Workflow showing calibration proccess of anion concentrations." title="" id="1" name="Picture"/>
            <a:graphic>
              <a:graphicData uri="http://schemas.openxmlformats.org/drawingml/2006/picture">
                <pic:pic>
                  <pic:nvPicPr>
                    <pic:cNvPr descr="Images/An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 showing calibration proccess of anion concentrations.</w:t>
      </w:r>
    </w:p>
    <w:p>
      <w:pPr>
        <w:pStyle w:val="BodyText"/>
      </w:pPr>
      <w:r>
        <w:t xml:space="preserve">5). Cation calibration</w:t>
      </w:r>
    </w:p>
    <w:p>
      <w:pPr>
        <w:pStyle w:val="CaptionedFigure"/>
      </w:pPr>
      <w:r>
        <w:drawing>
          <wp:inline>
            <wp:extent cx="5334000" cy="3276369"/>
            <wp:effectExtent b="0" l="0" r="0" t="0"/>
            <wp:docPr descr="Workflow showing calibration proccess of Cation concentrations." title="" id="1" name="Picture"/>
            <a:graphic>
              <a:graphicData uri="http://schemas.openxmlformats.org/drawingml/2006/picture">
                <pic:pic>
                  <pic:nvPicPr>
                    <pic:cNvPr descr="Images/Ca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Workflow showing calibration proccess of Cation concentrations.</w:t>
      </w:r>
    </w:p>
    <w:p>
      <w:pPr>
        <w:pStyle w:val="BodyText"/>
      </w:pPr>
      <w:r>
        <w:t xml:space="preserve">6). Final Calibration (10-year observation)</w:t>
      </w:r>
    </w:p>
    <w:p>
      <w:pPr>
        <w:pStyle w:val="Heading2"/>
      </w:pPr>
      <w:bookmarkStart w:id="26" w:name="learning-outcomes-progress"/>
      <w:r>
        <w:t xml:space="preserve">Learning Outcomes Progress</w:t>
      </w:r>
      <w:bookmarkEnd w:id="26"/>
    </w:p>
    <w:p>
      <w:pPr>
        <w:pStyle w:val="Heading2"/>
      </w:pPr>
      <w:bookmarkStart w:id="27" w:name="references"/>
      <w:r>
        <w:t xml:space="preserve">References</w:t>
      </w:r>
      <w:bookmarkEnd w:id="27"/>
    </w:p>
    <w:bookmarkStart w:id="41" w:name="refs"/>
    <w:bookmarkStart w:id="29" w:name="ref-coleComparisonCarbonAccumulation1995"/>
    <w:p>
      <w:pPr>
        <w:pStyle w:val="Bibliography"/>
      </w:pPr>
      <w:r>
        <w:t xml:space="preserve">Cole, Dale W., Jana E. Compton, R. L. Edmonds, Peter S. Homann, and H. Van Miegroet. 1995. “Comparison of Carbon Accumulation in Douglas Fir and Red Alder Forests.” In</w:t>
      </w:r>
      <w:r>
        <w:t xml:space="preserve"> </w:t>
      </w:r>
      <w:r>
        <w:rPr>
          <w:i/>
        </w:rPr>
        <w:t xml:space="preserve">Carbon Forms and Functions in Forest Soils</w:t>
      </w:r>
      <w:r>
        <w:t xml:space="preserve">, 527–46. John Wiley &amp; Sons, Ltd.</w:t>
      </w:r>
      <w:r>
        <w:t xml:space="preserve"> </w:t>
      </w:r>
      <w:hyperlink r:id="rId28">
        <w:r>
          <w:rPr>
            <w:rStyle w:val="Hyperlink"/>
          </w:rPr>
          <w:t xml:space="preserve">https://doi.org/10.2136/1995.carbonforms.c24</w:t>
        </w:r>
      </w:hyperlink>
      <w:r>
        <w:t xml:space="preserve">.</w:t>
      </w:r>
    </w:p>
    <w:bookmarkEnd w:id="29"/>
    <w:bookmarkStart w:id="30" w:name="X5ed645e88c4055b8457534ba15fad715e26ec8c"/>
    <w:p>
      <w:pPr>
        <w:pStyle w:val="Bibliography"/>
      </w:pPr>
      <w:r>
        <w:t xml:space="preserve">Klopatek, Jeffrey M. 2008. “Litter Decomposition Contrasts in Second- and Old-Growth Douglas-Fir Forests of the Pacific Northwest, USA.”</w:t>
      </w:r>
      <w:r>
        <w:t xml:space="preserve"> </w:t>
      </w:r>
      <w:r>
        <w:rPr>
          <w:i/>
        </w:rPr>
        <w:t xml:space="preserve">Plant Ecology</w:t>
      </w:r>
      <w:r>
        <w:t xml:space="preserve"> </w:t>
      </w:r>
      <w:r>
        <w:t xml:space="preserve">196 (1): 123–33.</w:t>
      </w:r>
    </w:p>
    <w:bookmarkEnd w:id="30"/>
    <w:bookmarkStart w:id="31" w:name="ref-NationalAtmosphericDeposition2020a"/>
    <w:p>
      <w:pPr>
        <w:pStyle w:val="Bibliography"/>
      </w:pPr>
      <w:r>
        <w:t xml:space="preserve">“National Atmospheric Deposition Program (NRSP-3).” 2020.</w:t>
      </w:r>
    </w:p>
    <w:bookmarkEnd w:id="31"/>
    <w:bookmarkStart w:id="33" w:name="X73bfd74495f3476d5fc127c6c77e2c7e0ddfa67"/>
    <w:p>
      <w:pPr>
        <w:pStyle w:val="Bibliography"/>
      </w:pPr>
      <w:r>
        <w:t xml:space="preserve">Perakis, Steven S., and Emily R. Sinkhorn. 2011. “Biogeochemistry of a Temperate Forest Nitrogen Gradient.”</w:t>
      </w:r>
      <w:r>
        <w:t xml:space="preserve"> </w:t>
      </w:r>
      <w:r>
        <w:rPr>
          <w:i/>
        </w:rPr>
        <w:t xml:space="preserve">Ecology</w:t>
      </w:r>
      <w:r>
        <w:t xml:space="preserve"> </w:t>
      </w:r>
      <w:r>
        <w:t xml:space="preserve">92 (7): 1481–91.</w:t>
      </w:r>
      <w:r>
        <w:t xml:space="preserve"> </w:t>
      </w:r>
      <w:hyperlink r:id="rId32">
        <w:r>
          <w:rPr>
            <w:rStyle w:val="Hyperlink"/>
          </w:rPr>
          <w:t xml:space="preserve">https://doi.org/10.1890/10-1642.1</w:t>
        </w:r>
      </w:hyperlink>
      <w:r>
        <w:t xml:space="preserve">.</w:t>
      </w:r>
    </w:p>
    <w:bookmarkEnd w:id="33"/>
    <w:bookmarkStart w:id="34" w:name="ref-safleyPart651Appendix2009"/>
    <w:p>
      <w:pPr>
        <w:pStyle w:val="Bibliography"/>
      </w:pPr>
      <w:r>
        <w:t xml:space="preserve">Safley, L. M, Carl DuPoldt, Frank Geter, Donald Stettler, and Timothy Murphy. 2009. “Part 651: Appendix 10E.” In</w:t>
      </w:r>
      <w:r>
        <w:t xml:space="preserve"> </w:t>
      </w:r>
      <w:r>
        <w:rPr>
          <w:i/>
        </w:rPr>
        <w:t xml:space="preserve">Agricultural Waste Management Field Handbook</w:t>
      </w:r>
      <w:r>
        <w:t xml:space="preserve">. United States Department of Agriculture, NRCS.</w:t>
      </w:r>
    </w:p>
    <w:bookmarkEnd w:id="34"/>
    <w:bookmarkStart w:id="36" w:name="ref-sollinsInternalElementCycles1980"/>
    <w:p>
      <w:pPr>
        <w:pStyle w:val="Bibliography"/>
      </w:pPr>
      <w:r>
        <w:t xml:space="preserve">Sollins, P., C. C. Grier, F. M. McCorison, K. Cromack, R. Fogel, and R. L. Fredriksen. 1980. “The Internal Element Cycles of an Old-Growth Douglas-Fir Ecosystem in Western Oregon.”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50 (3): 261–85.</w:t>
      </w:r>
      <w:r>
        <w:t xml:space="preserve"> </w:t>
      </w:r>
      <w:hyperlink r:id="rId35">
        <w:r>
          <w:rPr>
            <w:rStyle w:val="Hyperlink"/>
          </w:rPr>
          <w:t xml:space="preserve">https://doi.org/10.2307/2937252</w:t>
        </w:r>
      </w:hyperlink>
      <w:r>
        <w:t xml:space="preserve">.</w:t>
      </w:r>
    </w:p>
    <w:bookmarkEnd w:id="36"/>
    <w:bookmarkStart w:id="38" w:name="ref-tarrantAccumulationOrganicMatter1963"/>
    <w:p>
      <w:pPr>
        <w:pStyle w:val="Bibliography"/>
      </w:pPr>
      <w:r>
        <w:t xml:space="preserve">Tarrant, Robert F., and Richard E. Miller. 1963. “Accumulation of Organic Matter and Soil Nitrogen Beneath A Plantation of Red Alder and Douglas-Fir.”</w:t>
      </w:r>
      <w:r>
        <w:t xml:space="preserve"> </w:t>
      </w:r>
      <w:r>
        <w:rPr>
          <w:i/>
        </w:rPr>
        <w:t xml:space="preserve">Soil Science Society of America Journal</w:t>
      </w:r>
      <w:r>
        <w:t xml:space="preserve"> </w:t>
      </w:r>
      <w:r>
        <w:t xml:space="preserve">27 (2): 231–34.</w:t>
      </w:r>
      <w:r>
        <w:t xml:space="preserve"> </w:t>
      </w:r>
      <w:hyperlink r:id="rId37">
        <w:r>
          <w:rPr>
            <w:rStyle w:val="Hyperlink"/>
          </w:rPr>
          <w:t xml:space="preserve">https://doi.org/10.2136/sssaj1963.03615995002700020041x</w:t>
        </w:r>
      </w:hyperlink>
      <w:r>
        <w:t xml:space="preserve">.</w:t>
      </w:r>
    </w:p>
    <w:bookmarkEnd w:id="38"/>
    <w:bookmarkStart w:id="40" w:name="ref-tukeyLeachingSubstancesPlants1970"/>
    <w:p>
      <w:pPr>
        <w:pStyle w:val="Bibliography"/>
      </w:pPr>
      <w:r>
        <w:t xml:space="preserve">Tukey, H B. 1970. “The Leaching of Substances from Plants.”</w:t>
      </w:r>
      <w:r>
        <w:t xml:space="preserve"> </w:t>
      </w:r>
      <w:r>
        <w:rPr>
          <w:i/>
        </w:rPr>
        <w:t xml:space="preserve">Annual Review of Plant Physiology</w:t>
      </w:r>
      <w:r>
        <w:t xml:space="preserve"> </w:t>
      </w:r>
      <w:r>
        <w:t xml:space="preserve">21 (1): 305–24.</w:t>
      </w:r>
      <w:r>
        <w:t xml:space="preserve"> </w:t>
      </w:r>
      <w:hyperlink r:id="rId39">
        <w:r>
          <w:rPr>
            <w:rStyle w:val="Hyperlink"/>
          </w:rPr>
          <w:t xml:space="preserve">https://doi.org/10.1146/annurev.pp.21.060170.001513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39" Target="https://doi.org/10.1146/annurev.pp.21.060170.001513" TargetMode="External" /><Relationship Type="http://schemas.openxmlformats.org/officeDocument/2006/relationships/hyperlink" Id="rId32" Target="https://doi.org/10.1890/10-1642.1" TargetMode="External" /><Relationship Type="http://schemas.openxmlformats.org/officeDocument/2006/relationships/hyperlink" Id="rId28" Target="https://doi.org/10.2136/1995.carbonforms.c24" TargetMode="External" /><Relationship Type="http://schemas.openxmlformats.org/officeDocument/2006/relationships/hyperlink" Id="rId37" Target="https://doi.org/10.2136/sssaj1963.03615995002700020041x" TargetMode="External" /><Relationship Type="http://schemas.openxmlformats.org/officeDocument/2006/relationships/hyperlink" Id="rId35" Target="https://doi.org/10.2307/293725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doi.org/10.1146/annurev.pp.21.060170.001513" TargetMode="External" /><Relationship Type="http://schemas.openxmlformats.org/officeDocument/2006/relationships/hyperlink" Id="rId32" Target="https://doi.org/10.1890/10-1642.1" TargetMode="External" /><Relationship Type="http://schemas.openxmlformats.org/officeDocument/2006/relationships/hyperlink" Id="rId28" Target="https://doi.org/10.2136/1995.carbonforms.c24" TargetMode="External" /><Relationship Type="http://schemas.openxmlformats.org/officeDocument/2006/relationships/hyperlink" Id="rId37" Target="https://doi.org/10.2136/sssaj1963.03615995002700020041x" TargetMode="External" /><Relationship Type="http://schemas.openxmlformats.org/officeDocument/2006/relationships/hyperlink" Id="rId35" Target="https://doi.org/10.2307/29372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Progress</dc:title>
  <dc:creator>Kaveh</dc:creator>
  <cp:keywords/>
  <dcterms:created xsi:type="dcterms:W3CDTF">2020-12-30T00:43:53Z</dcterms:created>
  <dcterms:modified xsi:type="dcterms:W3CDTF">2020-12-30T00:43:53Z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Manuscript.bib</vt:lpwstr>
  </property>
  <property fmtid="{D5CDD505-2E9C-101B-9397-08002B2CF9AE}" pid="3" name="citation_package">
    <vt:lpwstr>natbib</vt:lpwstr>
  </property>
  <property fmtid="{D5CDD505-2E9C-101B-9397-08002B2CF9AE}" pid="4" name="date">
    <vt:lpwstr>12/29/2020</vt:lpwstr>
  </property>
  <property fmtid="{D5CDD505-2E9C-101B-9397-08002B2CF9AE}" pid="5" name="fig_caption">
    <vt:lpwstr>yes</vt:lpwstr>
  </property>
  <property fmtid="{D5CDD505-2E9C-101B-9397-08002B2CF9AE}" pid="6" name="geometry">
    <vt:lpwstr>margin=2 cm</vt:lpwstr>
  </property>
  <property fmtid="{D5CDD505-2E9C-101B-9397-08002B2CF9AE}" pid="7" name="output">
    <vt:lpwstr/>
  </property>
</Properties>
</file>