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9C9728">
      <w:pPr>
        <w:pStyle w:val="12"/>
        <w:jc w:val="left"/>
      </w:pPr>
      <w:r>
        <w:t>移动领域软硬件卡脖子技术调研报告</w:t>
      </w:r>
    </w:p>
    <w:p w14:paraId="63B02EF2">
      <w:pPr>
        <w:pStyle w:val="3"/>
        <w:jc w:val="left"/>
      </w:pPr>
      <w:r>
        <w:t>摘要</w:t>
      </w:r>
    </w:p>
    <w:p w14:paraId="18439170">
      <w:pPr>
        <w:jc w:val="left"/>
      </w:pPr>
      <w:r>
        <w:t>移动通信技术作为当今信息社会的核心基础设施，其软硬件技术的自主可控程度直接关系到国家信息安全和经济发展。本报告深入分析了移动领域面临的主要"卡脖子"技术问题，包括芯片设计与制造、操作系统、工业软件、关键材料等核心技术领域。通过对华为制裁事件、国产替代进展、技术发展趋势的全面调研，揭示了我国在移动技术领域既面临严峻挑战，也蕴含巨大发展机遇的现状。报告提出了加强自主创新、完善产业生态、深化国际合作的发展建议，为推动我国移动技术产业高质量发展提供参考。</w:t>
      </w:r>
    </w:p>
    <w:p w14:paraId="7C7E7802">
      <w:pPr>
        <w:pStyle w:val="3"/>
        <w:jc w:val="left"/>
      </w:pPr>
      <w:r>
        <w:t>1. 引言</w:t>
      </w:r>
    </w:p>
    <w:p w14:paraId="63E204ED">
      <w:pPr>
        <w:jc w:val="left"/>
      </w:pPr>
      <w:r>
        <w:t>21世纪以来，移动通信技术经历了从2G到5G的跨越式发展，深刻改变了人类的生产生活方式。然而，在这一波澜壮阔的技术革命中，我国虽然在应用层面取得了举世瞩目的成就，但在核心技术领域仍面临诸多"卡脖子"问题。2018年中兴通讯遭受美国制裁，2019年华为被列入"实体清单"，这些事件如醍醐灌顶，让我们深刻认识到掌握核心技术的重要性。</w:t>
      </w:r>
    </w:p>
    <w:p w14:paraId="6CBCC84F">
      <w:pPr>
        <w:jc w:val="left"/>
      </w:pPr>
      <w:r>
        <w:t>作为一名长期关注移动技术发展的研究者，我深切感受到技术自主可控的紧迫性。每当看到国产手机品牌在全球市场攻城略地，内心充满自豪；但当了解到其核心芯片、操作系统仍高度依赖国外技术时，又不禁为之担忧。这种复杂的情感，正是当代中国科技工作者共同的心声——既为成就骄傲，又为差距忧虑，更为未来充满期待。</w:t>
      </w:r>
    </w:p>
    <w:p w14:paraId="1ED8865D">
      <w:pPr>
        <w:pStyle w:val="3"/>
        <w:jc w:val="left"/>
      </w:pPr>
      <w:r>
        <w:t>2. 移动领域核心技术现状分析</w:t>
      </w:r>
    </w:p>
    <w:p w14:paraId="3F5E6C86">
      <w:pPr>
        <w:pStyle w:val="4"/>
        <w:jc w:val="left"/>
      </w:pPr>
      <w:r>
        <w:t>2.1 芯片设计与制造技术</w:t>
      </w:r>
    </w:p>
    <w:p w14:paraId="70DBD965">
      <w:pPr>
        <w:pStyle w:val="5"/>
        <w:jc w:val="left"/>
      </w:pPr>
      <w:r>
        <w:t>2.1.1 移动处理器芯片</w:t>
      </w:r>
    </w:p>
    <w:p w14:paraId="4A8EBBAB">
      <w:pPr>
        <w:jc w:val="left"/>
      </w:pPr>
      <w:r>
        <w:t>移动处理器作为智能手机的"大脑"，其性能直接决定了设备的整体表现。目前全球移动处理器市场主要被高通、苹果、联发科、三星等厂商垄断。我国华为海思曾凭借麒麟系列芯片在高端市场占据一席之地，但受到美国制裁影响，目前面临严重困境。</w:t>
      </w:r>
    </w:p>
    <w:p w14:paraId="542E250F">
      <w:pPr>
        <w:jc w:val="left"/>
      </w:pPr>
      <w:r>
        <w:t>1 华为海思设计的服务器芯片鲲鹏系列、5G基站芯片天罡系列、5G终端芯片巴龙系列，以及人工智能芯片昇腾系列都因禁令受到影响。这一事件深刻揭示了我国在芯片设计能力方面虽有突破，但在制造环节仍严重依赖国外先进工艺的现实。</w:t>
      </w:r>
    </w:p>
    <w:p w14:paraId="5736D278">
      <w:pPr>
        <w:jc w:val="left"/>
      </w:pPr>
      <w:r>
        <w:t>从技术层面看，1 国外最先进芯片量产精度为10纳米，我国只有28纳米，差距两代。这种技术代差不仅体现在制程工艺上，更体现在设计工具、制造设备、关键材料等全产业链环节。</w:t>
      </w:r>
    </w:p>
    <w:p w14:paraId="15170D84">
      <w:pPr>
        <w:pStyle w:val="5"/>
        <w:jc w:val="left"/>
      </w:pPr>
      <w:r>
        <w:t>2.1.2 5G通信芯片</w:t>
      </w:r>
    </w:p>
    <w:p w14:paraId="7821BD91">
      <w:pPr>
        <w:jc w:val="left"/>
      </w:pPr>
      <w:r>
        <w:t>5G作为新一代移动通信技术，其基站芯片和终端芯片的技术复杂度远超4G时代。我国在5G标准制定方面贡献突出，华为、中兴等企业在5G设备市场占据重要地位。然而，5G芯片的设计和制造仍面临诸多挑战。</w:t>
      </w:r>
    </w:p>
    <w:p w14:paraId="6BBB67E0">
      <w:pPr>
        <w:jc w:val="left"/>
      </w:pPr>
      <w:r>
        <w:t>3 展讯通信在无线通信芯片领域的成功实践为我们提供了宝贵经验。该公司研制成功了世界首款TD-SCDMA/GSM多模手机基带芯片，解决了当时TD-SCDMA产业终端核心芯片缺失的瓶颈问题。这一成就表明，通过持续的技术创新和产业化努力，我国完全有能力在移动通信芯片领域实现突破。</w:t>
      </w:r>
    </w:p>
    <w:p w14:paraId="7DE20DF7">
      <w:pPr>
        <w:pStyle w:val="5"/>
        <w:jc w:val="left"/>
      </w:pPr>
      <w:r>
        <w:t>2.1.3 人工智能芯片</w:t>
      </w:r>
    </w:p>
    <w:p w14:paraId="7B8CA503">
      <w:pPr>
        <w:jc w:val="left"/>
      </w:pPr>
      <w:r>
        <w:t>随着移动设备智能化程度不断提升，AI芯片成为新的技术制高点。2 中国AI芯片产业的整体水平处于世界中等水平。其中，上游和中游属于中下等水平，下游应用处于世界前列。这种"应用强、基础弱"的格局反映了我国在AI芯片领域的发展特点。</w:t>
      </w:r>
    </w:p>
    <w:p w14:paraId="25A14164">
      <w:pPr>
        <w:jc w:val="left"/>
      </w:pPr>
      <w:r>
        <w:t>4 "十五五"时期将是中国集成电路产业结构调整的关键时期。预计在先进制程、人工智能芯片领域将实现质的飞跃。这为我国AI芯片产业发展指明了方向，也增强了我们的信心。</w:t>
      </w:r>
    </w:p>
    <w:p w14:paraId="46FF6284">
      <w:pPr>
        <w:pStyle w:val="4"/>
        <w:jc w:val="left"/>
      </w:pPr>
      <w:r>
        <w:t>2.2 操作系统技术</w:t>
      </w:r>
    </w:p>
    <w:p w14:paraId="0408CF3C">
      <w:pPr>
        <w:pStyle w:val="5"/>
        <w:jc w:val="left"/>
      </w:pPr>
      <w:r>
        <w:t>2.2.1 移动操作系统现状</w:t>
      </w:r>
    </w:p>
    <w:p w14:paraId="16398894">
      <w:pPr>
        <w:jc w:val="left"/>
      </w:pPr>
      <w:r>
        <w:t>移动操作系统是移动设备的"灵魂"，其重要性不言而喻。1 数据显示，2017年安卓系统市场占有率达85.9%，苹果IOS为14%。其他系统仅有0.1%。这0.1%，基本也是美国的微软的Windows和黑莓。这种高度垄断的格局使得我国移动设备厂商长期处于"缺魂"状态。</w:t>
      </w:r>
    </w:p>
    <w:p w14:paraId="516EC3A0">
      <w:pPr>
        <w:jc w:val="left"/>
      </w:pPr>
      <w:r>
        <w:t>然而，这一局面正在发生根本性改变。2 华为Mate70系列手机正式发布，首次搭载"纯血鸿蒙系统"。原生鸿蒙操作系统成为我国首个自主可控的国产移动操作系统，也是继苹果iOS和安卓系统后，全球第三大移动操作系统。</w:t>
      </w:r>
    </w:p>
    <w:p w14:paraId="4BF88225">
      <w:pPr>
        <w:pStyle w:val="5"/>
        <w:jc w:val="left"/>
      </w:pPr>
      <w:r>
        <w:t>2.2.2 鸿蒙系统的突破意义</w:t>
      </w:r>
    </w:p>
    <w:p w14:paraId="712D00C5">
      <w:pPr>
        <w:jc w:val="left"/>
      </w:pPr>
      <w:r>
        <w:t>鸿蒙系统的发布具有里程碑意义。2 "我们在操作系统的研发上，用10年的时间干了欧美同行30多年才做成的事，实现了终端操作系统的自主可控。"华为常务董事、终端BG董事长、智能汽车解决方案BU董事长余承东如此表示。</w:t>
      </w:r>
    </w:p>
    <w:p w14:paraId="5BD85836">
      <w:pPr>
        <w:jc w:val="left"/>
      </w:pPr>
      <w:r>
        <w:t>作为一名技术从业者，我深知操作系统开发的艰难。从内核架构设计到应用生态构建，每一个环节都需要大量的技术积累和持续投入。华为能够在如此短的时间内推出自主可控的移动操作系统，不仅体现了中国科技企业的创新能力，更展现了中华民族自强不息的精神品质。</w:t>
      </w:r>
    </w:p>
    <w:p w14:paraId="6C19E2C9">
      <w:pPr>
        <w:pStyle w:val="4"/>
        <w:jc w:val="left"/>
      </w:pPr>
      <w:r>
        <w:t>2.3 工业软件技术</w:t>
      </w:r>
    </w:p>
    <w:p w14:paraId="7DE2C0CA">
      <w:pPr>
        <w:pStyle w:val="5"/>
        <w:jc w:val="left"/>
      </w:pPr>
      <w:r>
        <w:t>2.3.1 EDA工具软件</w:t>
      </w:r>
    </w:p>
    <w:p w14:paraId="23A49D02">
      <w:pPr>
        <w:jc w:val="left"/>
      </w:pPr>
      <w:r>
        <w:t>电子设计自动化(EDA)软件是芯片设计的"必备神器"，其重要性不亚于光刻机。1 国产EDA与美国主流EDA工具相较，设计原理上并无差异，但软件性能却存在不小差距，主要表现在对先进技术和工艺支持不足，和国外先进EDA工具之间存在"代差"。国外EDA三大巨头公司Cadence、Synopsys及Mentor，占据了全球该行业每年总收入的70%。</w:t>
      </w:r>
    </w:p>
    <w:p w14:paraId="0E5BDFC8">
      <w:pPr>
        <w:jc w:val="left"/>
      </w:pPr>
      <w:r>
        <w:t>1 研发设计类软件作为"卡脖子"核心环节，技术差距大，目前仍有95%国产替代空间。这一数据令人震惊，也让我们清醒地认识到在工业软件领域的巨大差距。</w:t>
      </w:r>
    </w:p>
    <w:p w14:paraId="6BDF6DB9">
      <w:pPr>
        <w:pStyle w:val="5"/>
        <w:jc w:val="left"/>
      </w:pPr>
      <w:r>
        <w:t>2.3.2 工业软件发展挑战</w:t>
      </w:r>
    </w:p>
    <w:p w14:paraId="37852DAF">
      <w:pPr>
        <w:jc w:val="left"/>
      </w:pPr>
      <w:r>
        <w:t>工业软件的发展面临多重挑战。1 单节点工具市场空间有限，小公司成长困难：简单测算，假设国内EDA空间100亿元，国产化替代率30%，则国产单节点工具面对的市场空间为1.5亿元左右，市场空间较小。</w:t>
      </w:r>
    </w:p>
    <w:p w14:paraId="2E82B093">
      <w:pPr>
        <w:jc w:val="left"/>
      </w:pPr>
      <w:r>
        <w:t>这种市场格局决定了工业软件领域容易形成"强者恒强"的局面，新进入者面临巨大挑战。但我们也要看到，随着国家对工业软件重视程度的提升和相关政策的支持，国产工业软件正迎来前所未有的发展机遇。</w:t>
      </w:r>
    </w:p>
    <w:p w14:paraId="6DE910D5">
      <w:pPr>
        <w:pStyle w:val="4"/>
        <w:jc w:val="left"/>
      </w:pPr>
      <w:r>
        <w:t>2.4 关键材料技术</w:t>
      </w:r>
    </w:p>
    <w:p w14:paraId="784DB688">
      <w:pPr>
        <w:pStyle w:val="5"/>
        <w:jc w:val="left"/>
      </w:pPr>
      <w:r>
        <w:t>2.4.1 显示材料</w:t>
      </w:r>
    </w:p>
    <w:p w14:paraId="4A54F274">
      <w:pPr>
        <w:jc w:val="left"/>
      </w:pPr>
      <w:r>
        <w:t>移动设备显示屏是用户最直接的交互界面，其背后涉及众多关键材料。1 微球，直径是头发粗细的三十分之一。手机屏幕里，每平方毫米要用一百个微球，撑起了两块玻璃面板，相当于骨架。2017年中国大陆的液晶面板出货量达到全球的33%，产业规模约千亿美元，位居全球第一。但这面板中的关键材料——间隔物微球，以及导电金球，全世界只有日本一两家公司可以提供。</w:t>
      </w:r>
    </w:p>
    <w:p w14:paraId="21722F9A">
      <w:pPr>
        <w:jc w:val="left"/>
      </w:pPr>
      <w:r>
        <w:t>这种"大而不强"的现状让人深思。我们在产业规模上已经做到全球第一，但在关键材料环节仍受制于人，这充分说明了掌握核心技术的重要性。</w:t>
      </w:r>
    </w:p>
    <w:p w14:paraId="689128A9">
      <w:pPr>
        <w:pStyle w:val="5"/>
        <w:jc w:val="left"/>
      </w:pPr>
      <w:r>
        <w:t>2.4.2 半导体材料</w:t>
      </w:r>
    </w:p>
    <w:p w14:paraId="5037B7A4">
      <w:pPr>
        <w:jc w:val="left"/>
      </w:pPr>
      <w:r>
        <w:t>半导体材料是芯片制造的基础，其纯度和性能直接影响芯片的质量。目前我国在高端半导体材料方面仍存在较大差距，特别是在硅片、光刻胶、电子特气等关键材料领域，对进口依赖度较高。</w:t>
      </w:r>
    </w:p>
    <w:p w14:paraId="3BC22176">
      <w:pPr>
        <w:pStyle w:val="3"/>
        <w:jc w:val="left"/>
      </w:pPr>
      <w:r>
        <w:t>3. 技术封锁与制裁影响分析</w:t>
      </w:r>
    </w:p>
    <w:p w14:paraId="450C599F">
      <w:pPr>
        <w:pStyle w:val="4"/>
        <w:jc w:val="left"/>
      </w:pPr>
      <w:r>
        <w:t>3.1 华为制裁事件深度剖析</w:t>
      </w:r>
    </w:p>
    <w:p w14:paraId="7CC2836B">
      <w:pPr>
        <w:jc w:val="left"/>
      </w:pPr>
      <w:r>
        <w:t>华为制裁事件是近年来最具代表性的技术封锁案例。2 美国打压华为以来，大家才发现，华为内部早就制定了一个备胎研发计划"Plan B"。如果谷歌不让华为用安卓系统，华为就用鸿蒙作为替代。</w:t>
      </w:r>
    </w:p>
    <w:p w14:paraId="41400AF0">
      <w:pPr>
        <w:jc w:val="left"/>
      </w:pPr>
      <w:r>
        <w:t>这一事件给我们上了深刻的一课。2 对于美方的打压封锁，任正非说，"我认为，这件事有两面性，一方面我们会受到一些影响，另一方面，会刺激中国系统性地、踏踏实实地发展电子工业。"这几年，中国人民要感谢美国给我们上了一课，认清了美国丑陋的真面目，不经受打压，不把我们打疼了，我们恐怕不会把增强产业链供应链自主可控能力提高到国家战略高度。</w:t>
      </w:r>
    </w:p>
    <w:p w14:paraId="3A646377">
      <w:pPr>
        <w:pStyle w:val="4"/>
        <w:jc w:val="left"/>
      </w:pPr>
      <w:r>
        <w:t>3.2 制裁的双刃剑效应</w:t>
      </w:r>
    </w:p>
    <w:p w14:paraId="69539091">
      <w:pPr>
        <w:jc w:val="left"/>
      </w:pPr>
      <w:r>
        <w:t>技术封锁对双方都产生了深远影响。2 技术封锁制裁对美国而言是把双刃剑。在美国2019年出台封锁措施时，华为公布的供应商名单中有33家来自于美国，占核心供应商的36%，其中大多为芯片供应商，包括Intel、博通、TI、高通、Qorvo、skyworks等，美国很多芯片公司营收的相当部分，依靠华为及其他中国厂商的采购，禁购政策对美方企业的影响也很大。</w:t>
      </w:r>
    </w:p>
    <w:p w14:paraId="6937DEDA">
      <w:pPr>
        <w:jc w:val="left"/>
      </w:pPr>
      <w:r>
        <w:t>这种相互依存的关系表明，在全球化时代，技术封锁往往是"杀敌一千，自损八百"的做法。但对我们而言，这也是一个难得的机遇，迫使我们加快自主创新步伐，减少对外依赖。</w:t>
      </w:r>
    </w:p>
    <w:p w14:paraId="72624B14">
      <w:pPr>
        <w:pStyle w:val="3"/>
        <w:jc w:val="left"/>
      </w:pPr>
      <w:r>
        <w:t>4. 国产替代进展与成就</w:t>
      </w:r>
    </w:p>
    <w:p w14:paraId="03A70BEC">
      <w:pPr>
        <w:pStyle w:val="4"/>
        <w:jc w:val="left"/>
      </w:pPr>
      <w:r>
        <w:t>4.1 信创产业发展</w:t>
      </w:r>
    </w:p>
    <w:p w14:paraId="54273097">
      <w:pPr>
        <w:jc w:val="left"/>
      </w:pPr>
      <w:r>
        <w:t>信息技术应用创新(信创)产业是我国应对技术封锁的重要举措。2 为解决核心技术被"卡脖子"的问题，信创产业已被提升至国家战略层面。2023年，我国提出"2+8+N"发展战略，"8"是指关乎国计民生的八大行业：金融、电力、电信、石油、交通、教育、医疗、航天航空，"N"则是指，把信创产品全面应用到消费市场。</w:t>
      </w:r>
    </w:p>
    <w:p w14:paraId="39C09232">
      <w:pPr>
        <w:jc w:val="left"/>
      </w:pPr>
      <w:r>
        <w:t>2 据第一新声研究院预测，2024—2026年信创市场增速分别为15.49%、17.84%、26.82%，2026年信创市场规模或达到2.66万亿元，前景十分广阔。</w:t>
      </w:r>
    </w:p>
    <w:p w14:paraId="4EADCE70">
      <w:pPr>
        <w:pStyle w:val="4"/>
        <w:jc w:val="left"/>
      </w:pPr>
      <w:r>
        <w:t>4.2 技术突破的重要性</w:t>
      </w:r>
    </w:p>
    <w:p w14:paraId="4B6CC5FE">
      <w:pPr>
        <w:jc w:val="left"/>
      </w:pPr>
      <w:r>
        <w:t>在信创发展过程中，技术突破是关键。2 "技术的突破，才是替代竞争最重要的影响。"早期银行不敢轻易更换核心系统数据库，是因为当时没有产品能够替代Oracle或者DB2，但如今腾讯的TDSQL性能上完全能够满足要求。</w:t>
      </w:r>
    </w:p>
    <w:p w14:paraId="0A74DBBA">
      <w:pPr>
        <w:jc w:val="left"/>
      </w:pPr>
      <w:r>
        <w:t>这一观点深刻揭示了技术自主的本质：不是简单的"换个牌子"，而是要在性能、稳定性、安全性等各方面都能达到甚至超越国外产品的水平。只有这样，国产替代才能真正站稳脚跟。</w:t>
      </w:r>
    </w:p>
    <w:p w14:paraId="152DB5EA">
      <w:pPr>
        <w:pStyle w:val="4"/>
        <w:jc w:val="left"/>
      </w:pPr>
      <w:r>
        <w:t>4.3 生态建设挑战</w:t>
      </w:r>
    </w:p>
    <w:p w14:paraId="66FD2190">
      <w:pPr>
        <w:jc w:val="left"/>
      </w:pPr>
      <w:r>
        <w:t>技术突破只是第一步，生态建设同样重要。2 "从便捷程度上看，国内信创软件已经不比微软差多少。真正面临的问题还是生态问题——微软打造了3500万个应用软件，这是国内传统硬件厂商难以具备的。"</w:t>
      </w:r>
    </w:p>
    <w:p w14:paraId="7DEF28F1">
      <w:pPr>
        <w:jc w:val="left"/>
      </w:pPr>
      <w:r>
        <w:t>生态建设是一个长期过程，需要产业链各环节的协同配合。2 鸿蒙原生应用也在进一步丰富和成熟。截至</w:t>
      </w:r>
      <w:r>
        <w:rPr>
          <w:rFonts w:hint="eastAsia"/>
          <w:lang w:val="en-US" w:eastAsia="zh-CN"/>
        </w:rPr>
        <w:t>今</w:t>
      </w:r>
      <w:r>
        <w:t>年</w:t>
      </w:r>
      <w:r>
        <w:rPr>
          <w:rFonts w:hint="eastAsia"/>
          <w:lang w:val="en-US" w:eastAsia="zh-CN"/>
        </w:rPr>
        <w:t>7</w:t>
      </w:r>
      <w:r>
        <w:t>月，包括钉钉、支付宝等在内的众多应用已经适配鸿蒙系统，这为鸿蒙生态的发展奠定了良好基础。</w:t>
      </w:r>
      <w:bookmarkStart w:id="0" w:name="_GoBack"/>
      <w:bookmarkEnd w:id="0"/>
    </w:p>
    <w:p w14:paraId="45351BB8">
      <w:pPr>
        <w:pStyle w:val="3"/>
        <w:jc w:val="left"/>
      </w:pPr>
      <w:r>
        <w:t>5. 个人体验与深度思考</w:t>
      </w:r>
    </w:p>
    <w:p w14:paraId="486B8C40">
      <w:pPr>
        <w:pStyle w:val="4"/>
        <w:jc w:val="left"/>
      </w:pPr>
      <w:r>
        <w:t>5.1 使用体验的变化</w:t>
      </w:r>
    </w:p>
    <w:p w14:paraId="17029253">
      <w:pPr>
        <w:jc w:val="left"/>
      </w:pPr>
      <w:r>
        <w:t>作为一名长期使用国产手机的用户，我深切感受到了国产移动设备的快速进步。从早期的模仿跟随，到如今在某些领域的引领创新，这种变化令人振奋。特别是在拍照、快充、设计等方面，国产手机已经达到甚至超越了国际先进水平。</w:t>
      </w:r>
    </w:p>
    <w:p w14:paraId="0C5F8C14">
      <w:pPr>
        <w:jc w:val="left"/>
      </w:pPr>
      <w:r>
        <w:t>然而，在使用过程中也能感受到一些不足。比如在某些专业应用场景下，国产芯片的性能表现仍有提升空间；在系统流畅度和应用生态丰富度方面，与iOS和安卓相比还存在差距。但这些差距正在快速缩小，特别是鸿蒙系统的推出，让我们看到了国产操作系统的巨大潜力。</w:t>
      </w:r>
    </w:p>
    <w:p w14:paraId="7BFD09C0">
      <w:pPr>
        <w:pStyle w:val="4"/>
        <w:jc w:val="left"/>
      </w:pPr>
      <w:r>
        <w:t>5.2 技术发展的感悟</w:t>
      </w:r>
    </w:p>
    <w:p w14:paraId="31FD2CA4">
      <w:pPr>
        <w:jc w:val="left"/>
      </w:pPr>
      <w:r>
        <w:t>通过深入研究移动领域的技术发展，我深刻认识到技术自主的重要性。5 关键核心技术对于我国经济社会发展和国家安全等具有极端战略重要性，突破和掌握那些我国处于"卡脖子"短板位置的关键核心技术，对于我们实现建设世界科技强国的目标具有决定性的标志意义。</w:t>
      </w:r>
    </w:p>
    <w:p w14:paraId="2A820309">
      <w:pPr>
        <w:jc w:val="left"/>
      </w:pPr>
      <w:r>
        <w:t>技术发展不是一蹴而就的，需要长期的积累和持续的投入。5 关键核心技术一般具有高投入、长周期的特点。核心技术研发投入巨大，单个国际集成电路巨头一年的新技术和新设备投入往往可以达到百亿美元之巨。关键核心技术难题的复杂程度高、探索周期长，例如一款核心发动机的研发周期往往达到15—20年。</w:t>
      </w:r>
    </w:p>
    <w:p w14:paraId="152AF6DD">
      <w:pPr>
        <w:pStyle w:val="4"/>
        <w:jc w:val="left"/>
      </w:pPr>
      <w:r>
        <w:t>5.3 民族自豪感与责任心</w:t>
      </w:r>
    </w:p>
    <w:p w14:paraId="11166E12">
      <w:pPr>
        <w:jc w:val="left"/>
      </w:pPr>
      <w:r>
        <w:t>每当看到华为、小米、OPPO、vivo等国产品牌在全球市场的出色表现，内心都充满自豪。这些企业不仅代表着中国制造的水平，更承载着中华民族的科技梦想。特别是华为在面临美国制裁时表现出的坚韧不拔，更是让人敬佩。</w:t>
      </w:r>
    </w:p>
    <w:p w14:paraId="1EE486D2">
      <w:pPr>
        <w:jc w:val="left"/>
      </w:pPr>
      <w:r>
        <w:t>同时，我也深感责任重大。作为新时代的科技工作者，我们有责任为国家的技术自主贡献自己的力量。无论是在学习研究中，还是在实际工作中，都要时刻牢记科技强国的使命，为实现中华民族伟大复兴的中国梦而努力奋斗。</w:t>
      </w:r>
    </w:p>
    <w:p w14:paraId="0B1F5B6E">
      <w:pPr>
        <w:pStyle w:val="3"/>
        <w:jc w:val="left"/>
      </w:pPr>
      <w:r>
        <w:t>6. 发展趋势与前景展望</w:t>
      </w:r>
    </w:p>
    <w:p w14:paraId="0E76F42C">
      <w:pPr>
        <w:pStyle w:val="4"/>
        <w:jc w:val="left"/>
      </w:pPr>
      <w:r>
        <w:t>6.1 技术发展趋势</w:t>
      </w:r>
    </w:p>
    <w:p w14:paraId="3BB518D2">
      <w:pPr>
        <w:jc w:val="left"/>
      </w:pPr>
      <w:r>
        <w:t>移动领域的技术发展呈现出几个明显趋势：</w:t>
      </w:r>
    </w:p>
    <w:p w14:paraId="199F9211">
      <w:pPr>
        <w:numPr>
          <w:ilvl w:val="0"/>
          <w:numId w:val="2"/>
        </w:numPr>
        <w:jc w:val="left"/>
      </w:pPr>
      <w:r>
        <w:rPr>
          <w:b/>
          <w:bCs/>
        </w:rPr>
        <w:t>芯片集成度持续提升</w:t>
      </w:r>
      <w:r>
        <w:t>：随着制程工艺的不断进步，芯片集成度将继续提升，功耗将进一步降低。</w:t>
      </w:r>
    </w:p>
    <w:p w14:paraId="4E7C62FE">
      <w:pPr>
        <w:numPr>
          <w:ilvl w:val="0"/>
          <w:numId w:val="2"/>
        </w:numPr>
        <w:jc w:val="left"/>
      </w:pPr>
      <w:r>
        <w:rPr>
          <w:b/>
          <w:bCs/>
        </w:rPr>
        <w:t>AI与移动设备深度融合</w:t>
      </w:r>
      <w:r>
        <w:t>：人工智能技术将更深入地融入移动设备，推动设备智能化水平不断提升。</w:t>
      </w:r>
    </w:p>
    <w:p w14:paraId="4FB0837B">
      <w:pPr>
        <w:numPr>
          <w:ilvl w:val="0"/>
          <w:numId w:val="2"/>
        </w:numPr>
        <w:jc w:val="left"/>
      </w:pPr>
      <w:r>
        <w:rPr>
          <w:b/>
          <w:bCs/>
        </w:rPr>
        <w:t>5G应用场景不断丰富</w:t>
      </w:r>
      <w:r>
        <w:t>：5G技术将催生更多创新应用，推动移动互联网向万物互联发展。</w:t>
      </w:r>
    </w:p>
    <w:p w14:paraId="3BC8B345">
      <w:pPr>
        <w:numPr>
          <w:ilvl w:val="0"/>
          <w:numId w:val="2"/>
        </w:numPr>
        <w:jc w:val="left"/>
      </w:pPr>
      <w:r>
        <w:rPr>
          <w:b/>
          <w:bCs/>
        </w:rPr>
        <w:t>操作系统多元化发展</w:t>
      </w:r>
      <w:r>
        <w:t>：随着鸿蒙等自主操作系统的发展，移动操作系统将呈现多元化竞争格局。</w:t>
      </w:r>
    </w:p>
    <w:p w14:paraId="515F085E">
      <w:pPr>
        <w:pStyle w:val="4"/>
        <w:jc w:val="left"/>
      </w:pPr>
      <w:r>
        <w:t>6.2 产业发展前景</w:t>
      </w:r>
    </w:p>
    <w:p w14:paraId="02B5F87B">
      <w:pPr>
        <w:jc w:val="left"/>
      </w:pPr>
      <w:r>
        <w:t>4 "十五五"时期，要前瞻性应用人工智能技术的牵引能力和赋能效果，强化"技术突破+工艺创新+智能赋能"的"融合发展策略"，夯实产业长期发展潜力，加快工艺突破和创新贯通全产业链，深化人工智能对产业创新发展的有效赋能。</w:t>
      </w:r>
    </w:p>
    <w:p w14:paraId="7BDA1977">
      <w:pPr>
        <w:jc w:val="left"/>
      </w:pPr>
      <w:r>
        <w:t>这为我国移动技术产业的发展指明了方向。通过技术突破、工艺创新和智能赋能的有机结合，我国有望在移动技术领域实现更大突破。</w:t>
      </w:r>
    </w:p>
    <w:p w14:paraId="48DE2BCD">
      <w:pPr>
        <w:pStyle w:val="4"/>
        <w:jc w:val="left"/>
      </w:pPr>
      <w:r>
        <w:t>6.3 挑战与机遇并存</w:t>
      </w:r>
    </w:p>
    <w:p w14:paraId="4D51CAD3">
      <w:pPr>
        <w:jc w:val="left"/>
      </w:pPr>
      <w:r>
        <w:t>未来发展既面临挑战，也充满机遇：</w:t>
      </w:r>
    </w:p>
    <w:p w14:paraId="2CD6AD56">
      <w:pPr>
        <w:jc w:val="left"/>
      </w:pPr>
      <w:r>
        <w:rPr>
          <w:b/>
          <w:bCs/>
        </w:rPr>
        <w:t>挑战方面：</w:t>
      </w:r>
    </w:p>
    <w:p w14:paraId="0D0CA1C1">
      <w:pPr>
        <w:numPr>
          <w:ilvl w:val="0"/>
          <w:numId w:val="3"/>
        </w:numPr>
        <w:jc w:val="left"/>
      </w:pPr>
      <w:r>
        <w:t>国际技术封锁可能进一步加剧</w:t>
      </w:r>
    </w:p>
    <w:p w14:paraId="067B8625">
      <w:pPr>
        <w:numPr>
          <w:ilvl w:val="0"/>
          <w:numId w:val="3"/>
        </w:numPr>
        <w:jc w:val="left"/>
      </w:pPr>
      <w:r>
        <w:t>核心技术突破需要长期投入</w:t>
      </w:r>
    </w:p>
    <w:p w14:paraId="6A7F6EE0">
      <w:pPr>
        <w:numPr>
          <w:ilvl w:val="0"/>
          <w:numId w:val="3"/>
        </w:numPr>
        <w:jc w:val="left"/>
      </w:pPr>
      <w:r>
        <w:t>人才培养和技术积累需要时间</w:t>
      </w:r>
    </w:p>
    <w:p w14:paraId="58134F46">
      <w:pPr>
        <w:numPr>
          <w:ilvl w:val="0"/>
          <w:numId w:val="3"/>
        </w:numPr>
        <w:jc w:val="left"/>
      </w:pPr>
      <w:r>
        <w:t>产业生态建设任重道远</w:t>
      </w:r>
    </w:p>
    <w:p w14:paraId="7383A422">
      <w:pPr>
        <w:jc w:val="left"/>
      </w:pPr>
      <w:r>
        <w:rPr>
          <w:b/>
          <w:bCs/>
        </w:rPr>
        <w:t>机遇方面：</w:t>
      </w:r>
    </w:p>
    <w:p w14:paraId="7E5042ED">
      <w:pPr>
        <w:numPr>
          <w:ilvl w:val="0"/>
          <w:numId w:val="3"/>
        </w:numPr>
        <w:jc w:val="left"/>
      </w:pPr>
      <w:r>
        <w:t>国家政策大力支持</w:t>
      </w:r>
    </w:p>
    <w:p w14:paraId="7A3CCD00">
      <w:pPr>
        <w:numPr>
          <w:ilvl w:val="0"/>
          <w:numId w:val="3"/>
        </w:numPr>
        <w:jc w:val="left"/>
      </w:pPr>
      <w:r>
        <w:t>市场需求持续增长</w:t>
      </w:r>
    </w:p>
    <w:p w14:paraId="2D7FA234">
      <w:pPr>
        <w:numPr>
          <w:ilvl w:val="0"/>
          <w:numId w:val="3"/>
        </w:numPr>
        <w:jc w:val="left"/>
      </w:pPr>
      <w:r>
        <w:t>技术创新活力不断释放</w:t>
      </w:r>
    </w:p>
    <w:p w14:paraId="2C23D135">
      <w:pPr>
        <w:numPr>
          <w:ilvl w:val="0"/>
          <w:numId w:val="3"/>
        </w:numPr>
        <w:jc w:val="left"/>
      </w:pPr>
      <w:r>
        <w:t>产业协同效应日益显现</w:t>
      </w:r>
    </w:p>
    <w:p w14:paraId="1C3BA2F9">
      <w:pPr>
        <w:pStyle w:val="3"/>
        <w:jc w:val="left"/>
      </w:pPr>
      <w:r>
        <w:t>7. 对策建议</w:t>
      </w:r>
    </w:p>
    <w:p w14:paraId="67117AC0">
      <w:pPr>
        <w:pStyle w:val="4"/>
        <w:jc w:val="left"/>
      </w:pPr>
      <w:r>
        <w:t>7.1 加强顶层设计</w:t>
      </w:r>
    </w:p>
    <w:p w14:paraId="006B4253">
      <w:pPr>
        <w:jc w:val="left"/>
      </w:pPr>
      <w:r>
        <w:t>建议国家进一步完善移动技术发展的顶层设计，制定更加系统的发展规划。重点关注以下几个方面：</w:t>
      </w:r>
    </w:p>
    <w:p w14:paraId="42C386D5">
      <w:pPr>
        <w:numPr>
          <w:ilvl w:val="0"/>
          <w:numId w:val="4"/>
        </w:numPr>
        <w:jc w:val="left"/>
      </w:pPr>
      <w:r>
        <w:rPr>
          <w:b/>
          <w:bCs/>
        </w:rPr>
        <w:t>统筹规划产业布局</w:t>
      </w:r>
      <w:r>
        <w:t>：避免重复建设和恶性竞争，形成合理的产业分工格局。</w:t>
      </w:r>
    </w:p>
    <w:p w14:paraId="1B4A649A">
      <w:pPr>
        <w:numPr>
          <w:ilvl w:val="0"/>
          <w:numId w:val="4"/>
        </w:numPr>
        <w:jc w:val="left"/>
      </w:pPr>
      <w:r>
        <w:rPr>
          <w:b/>
          <w:bCs/>
        </w:rPr>
        <w:t>加大研发投入</w:t>
      </w:r>
      <w:r>
        <w:t>：设立专项资金支持关键核心技术攻关，特别是在芯片设计、工业软件等薄弱环节。</w:t>
      </w:r>
    </w:p>
    <w:p w14:paraId="164C0B24">
      <w:pPr>
        <w:numPr>
          <w:ilvl w:val="0"/>
          <w:numId w:val="4"/>
        </w:numPr>
        <w:jc w:val="left"/>
      </w:pPr>
      <w:r>
        <w:rPr>
          <w:b/>
          <w:bCs/>
        </w:rPr>
        <w:t>完善人才培养体系</w:t>
      </w:r>
      <w:r>
        <w:t>：加强高校相关专业建设，培养更多高层次技术人才。</w:t>
      </w:r>
    </w:p>
    <w:p w14:paraId="034C76FE">
      <w:pPr>
        <w:pStyle w:val="4"/>
        <w:jc w:val="left"/>
      </w:pPr>
      <w:r>
        <w:t>7.2 强化企业创新主体地位</w:t>
      </w:r>
    </w:p>
    <w:p w14:paraId="77AF38DD">
      <w:pPr>
        <w:jc w:val="left"/>
      </w:pPr>
      <w:r>
        <w:t>企业是技术创新的主体，应进一步强化企业在创新中的主导作用：</w:t>
      </w:r>
    </w:p>
    <w:p w14:paraId="782B1463">
      <w:pPr>
        <w:numPr>
          <w:ilvl w:val="0"/>
          <w:numId w:val="5"/>
        </w:numPr>
        <w:jc w:val="left"/>
      </w:pPr>
      <w:r>
        <w:rPr>
          <w:b/>
          <w:bCs/>
        </w:rPr>
        <w:t>支持龙头企业发展</w:t>
      </w:r>
      <w:r>
        <w:t>：培育更多像华为这样的世界级科技企业。</w:t>
      </w:r>
    </w:p>
    <w:p w14:paraId="11BAD075">
      <w:pPr>
        <w:numPr>
          <w:ilvl w:val="0"/>
          <w:numId w:val="5"/>
        </w:numPr>
        <w:jc w:val="left"/>
      </w:pPr>
      <w:r>
        <w:rPr>
          <w:b/>
          <w:bCs/>
        </w:rPr>
        <w:t>鼓励中小企业创新</w:t>
      </w:r>
      <w:r>
        <w:t>：为中小企业提供更多创新资源和发展机会。</w:t>
      </w:r>
    </w:p>
    <w:p w14:paraId="5290F81D">
      <w:pPr>
        <w:numPr>
          <w:ilvl w:val="0"/>
          <w:numId w:val="5"/>
        </w:numPr>
        <w:jc w:val="left"/>
      </w:pPr>
      <w:r>
        <w:rPr>
          <w:b/>
          <w:bCs/>
        </w:rPr>
        <w:t>促进产学研合作</w:t>
      </w:r>
      <w:r>
        <w:t>：建立更加紧密的产学研合作机制。</w:t>
      </w:r>
    </w:p>
    <w:p w14:paraId="0928F7F8">
      <w:pPr>
        <w:pStyle w:val="4"/>
        <w:jc w:val="left"/>
      </w:pPr>
      <w:r>
        <w:t>7.3 完善产业生态</w:t>
      </w:r>
    </w:p>
    <w:p w14:paraId="57A2BB22">
      <w:pPr>
        <w:jc w:val="left"/>
      </w:pPr>
      <w:r>
        <w:t>技术发展需要完整的产业生态支撑：</w:t>
      </w:r>
    </w:p>
    <w:p w14:paraId="40F87B00">
      <w:pPr>
        <w:numPr>
          <w:ilvl w:val="0"/>
          <w:numId w:val="6"/>
        </w:numPr>
        <w:jc w:val="left"/>
      </w:pPr>
      <w:r>
        <w:rPr>
          <w:b/>
          <w:bCs/>
        </w:rPr>
        <w:t>建设公共技术平台</w:t>
      </w:r>
      <w:r>
        <w:t>：为中小企业提供共性技术服务。</w:t>
      </w:r>
    </w:p>
    <w:p w14:paraId="36455C31">
      <w:pPr>
        <w:numPr>
          <w:ilvl w:val="0"/>
          <w:numId w:val="6"/>
        </w:numPr>
        <w:jc w:val="left"/>
      </w:pPr>
      <w:r>
        <w:rPr>
          <w:b/>
          <w:bCs/>
        </w:rPr>
        <w:t>完善标准体系</w:t>
      </w:r>
      <w:r>
        <w:t>：制定更加完善的技术标准和规范。</w:t>
      </w:r>
    </w:p>
    <w:p w14:paraId="628DE95C">
      <w:pPr>
        <w:numPr>
          <w:ilvl w:val="0"/>
          <w:numId w:val="6"/>
        </w:numPr>
        <w:jc w:val="left"/>
      </w:pPr>
      <w:r>
        <w:rPr>
          <w:b/>
          <w:bCs/>
        </w:rPr>
        <w:t>加强知识产权保护</w:t>
      </w:r>
      <w:r>
        <w:t>：营造良好的创新环境。</w:t>
      </w:r>
    </w:p>
    <w:p w14:paraId="6E7D1EF1">
      <w:pPr>
        <w:pStyle w:val="4"/>
        <w:jc w:val="left"/>
      </w:pPr>
      <w:r>
        <w:t>7.4 深化国际合作</w:t>
      </w:r>
    </w:p>
    <w:p w14:paraId="1B06EE2D">
      <w:pPr>
        <w:jc w:val="left"/>
      </w:pPr>
      <w:r>
        <w:t>在坚持自主创新的同时，也要积极开展国际合作：</w:t>
      </w:r>
    </w:p>
    <w:p w14:paraId="7B9F2BA6">
      <w:pPr>
        <w:numPr>
          <w:ilvl w:val="0"/>
          <w:numId w:val="7"/>
        </w:numPr>
        <w:jc w:val="left"/>
      </w:pPr>
      <w:r>
        <w:rPr>
          <w:b/>
          <w:bCs/>
        </w:rPr>
        <w:t>参与国际标准制定</w:t>
      </w:r>
      <w:r>
        <w:t>：在5G、6G等新技术标准制定中发挥更大作用。</w:t>
      </w:r>
    </w:p>
    <w:p w14:paraId="0C110BCB">
      <w:pPr>
        <w:numPr>
          <w:ilvl w:val="0"/>
          <w:numId w:val="7"/>
        </w:numPr>
        <w:jc w:val="left"/>
      </w:pPr>
      <w:r>
        <w:rPr>
          <w:b/>
          <w:bCs/>
        </w:rPr>
        <w:t>开展技术交流</w:t>
      </w:r>
      <w:r>
        <w:t>：与国际先进企业和研究机构开展技术交流合作。</w:t>
      </w:r>
    </w:p>
    <w:p w14:paraId="2371C868">
      <w:pPr>
        <w:numPr>
          <w:ilvl w:val="0"/>
          <w:numId w:val="7"/>
        </w:numPr>
        <w:jc w:val="left"/>
      </w:pPr>
      <w:r>
        <w:rPr>
          <w:b/>
          <w:bCs/>
        </w:rPr>
        <w:t>构建开放生态</w:t>
      </w:r>
      <w:r>
        <w:t>：在确保安全的前提下，构建更加开放的技术生态。</w:t>
      </w:r>
    </w:p>
    <w:p w14:paraId="4408C750">
      <w:pPr>
        <w:pStyle w:val="3"/>
        <w:jc w:val="left"/>
      </w:pPr>
      <w:r>
        <w:t>8. 结论</w:t>
      </w:r>
    </w:p>
    <w:p w14:paraId="4FC5C0FA">
      <w:pPr>
        <w:jc w:val="left"/>
      </w:pPr>
      <w:r>
        <w:t>移动领域软硬件"卡脖子"技术问题是我国科技发展面临的重大挑战，但也是推动技术自主创新的重要机遇。通过深入分析，我们可以得出以下结论：</w:t>
      </w:r>
    </w:p>
    <w:p w14:paraId="426399B8">
      <w:pPr>
        <w:numPr>
          <w:ilvl w:val="0"/>
          <w:numId w:val="8"/>
        </w:numPr>
        <w:jc w:val="left"/>
      </w:pPr>
      <w:r>
        <w:rPr>
          <w:b/>
          <w:bCs/>
        </w:rPr>
        <w:t>问题严峻但并非不可解决</w:t>
      </w:r>
      <w:r>
        <w:t>：虽然在芯片制造、工业软件等领域存在较大差距，但随着国家重视程度的提升和持续投入，这些问题正在逐步得到解决。</w:t>
      </w:r>
    </w:p>
    <w:p w14:paraId="2FCB3B79">
      <w:pPr>
        <w:numPr>
          <w:ilvl w:val="0"/>
          <w:numId w:val="8"/>
        </w:numPr>
        <w:jc w:val="left"/>
      </w:pPr>
      <w:r>
        <w:rPr>
          <w:b/>
          <w:bCs/>
        </w:rPr>
        <w:t>自主创新能力不断增强</w:t>
      </w:r>
      <w:r>
        <w:t>：华为鸿蒙系统的成功推出、展讯在通信芯片领域的突破等案例表明，我国在移动技术领域的自主创新能力正在不断增强。</w:t>
      </w:r>
    </w:p>
    <w:p w14:paraId="75774500">
      <w:pPr>
        <w:numPr>
          <w:ilvl w:val="0"/>
          <w:numId w:val="8"/>
        </w:numPr>
        <w:jc w:val="left"/>
      </w:pPr>
      <w:r>
        <w:rPr>
          <w:b/>
          <w:bCs/>
        </w:rPr>
        <w:t>产业发展前景广阔</w:t>
      </w:r>
      <w:r>
        <w:t>：随着5G、AI等新技术的发展，移动技术产业将迎来新的发展机遇，为我国实现技术突破提供了有利条件。</w:t>
      </w:r>
    </w:p>
    <w:p w14:paraId="7A68AE53">
      <w:pPr>
        <w:numPr>
          <w:ilvl w:val="0"/>
          <w:numId w:val="8"/>
        </w:numPr>
        <w:jc w:val="left"/>
      </w:pPr>
      <w:r>
        <w:rPr>
          <w:b/>
          <w:bCs/>
        </w:rPr>
        <w:t>需要长期坚持和系统推进</w:t>
      </w:r>
      <w:r>
        <w:t>：技术突破不是一朝一夕的事情，需要长期坚持和系统推进，既要有"十年磨一剑"的耐心，也要有"只争朝夕"的紧迫感。</w:t>
      </w:r>
    </w:p>
    <w:p w14:paraId="4EE0D01A">
      <w:pPr>
        <w:jc w:val="left"/>
      </w:pPr>
      <w:r>
        <w:t>作为新时代的见证者和参与者，我深信在党和国家的正确领导下，在全体科技工作者的共同努力下，我国一定能够突破移动领域的"卡脖子"技术，实现从跟跑到并跑再到领跑的历史性跨越。这不仅是技术的胜利，更是中华民族自强不息精神的体现，是实现中华民族伟大复兴中国梦的重要组成部分。</w:t>
      </w:r>
    </w:p>
    <w:p w14:paraId="4AF8EE1A">
      <w:pPr>
        <w:jc w:val="left"/>
      </w:pPr>
      <w:r>
        <w:t>让我们携手并进，为建设科技强国、实现中华民族伟大复兴的中国梦而努力奋斗！</w:t>
      </w:r>
    </w:p>
    <w:p w14:paraId="744D59ED">
      <w:pPr>
        <w:pStyle w:val="19"/>
        <w:pBdr>
          <w:bottom w:val="single" w:color="080F17" w:sz="6" w:space="0"/>
        </w:pBdr>
        <w:jc w:val="left"/>
      </w:pPr>
    </w:p>
    <w:p w14:paraId="742BBAB5">
      <w:pPr>
        <w:pStyle w:val="19"/>
      </w:pPr>
    </w:p>
    <w:p w14:paraId="1E478236">
      <w:pPr>
        <w:pStyle w:val="3"/>
        <w:jc w:val="left"/>
      </w:pPr>
      <w:r>
        <w:t>参考文献</w:t>
      </w:r>
    </w:p>
    <w:p w14:paraId="7EF9907D">
      <w:pPr>
        <w:jc w:val="left"/>
      </w:pPr>
      <w:r>
        <w:t xml:space="preserve">[1] 方德信基金. 《科技日报》报道的35项"卡脖子"技术&amp;中国尚未掌控的60余项项核心技术清单[EB/OL]. </w:t>
      </w:r>
      <w:r>
        <w:fldChar w:fldCharType="begin"/>
      </w:r>
      <w:r>
        <w:instrText xml:space="preserve"> HYPERLINK "https://www.fdx-fund.com/cn/case-detail-1553.html" </w:instrText>
      </w:r>
      <w:r>
        <w:fldChar w:fldCharType="separate"/>
      </w:r>
      <w:r>
        <w:rPr>
          <w:rStyle w:val="11"/>
        </w:rPr>
        <w:t>https://www.fdx-fund.com/cn/case-detail-1553.html</w:t>
      </w:r>
      <w:r>
        <w:fldChar w:fldCharType="end"/>
      </w:r>
    </w:p>
    <w:p w14:paraId="65280E2A">
      <w:pPr>
        <w:jc w:val="left"/>
      </w:pPr>
      <w:r>
        <w:t xml:space="preserve">[2] 广东省科学技术厅. 信创加速，破局"卡脖子"技术[EB/OL]. </w:t>
      </w:r>
      <w:r>
        <w:fldChar w:fldCharType="begin"/>
      </w:r>
      <w:r>
        <w:instrText xml:space="preserve"> HYPERLINK "http://gdstc.gd.gov.cn/kjzx_n/gdkj_n/content/post_4606351.html" </w:instrText>
      </w:r>
      <w:r>
        <w:fldChar w:fldCharType="separate"/>
      </w:r>
      <w:r>
        <w:rPr>
          <w:rStyle w:val="11"/>
        </w:rPr>
        <w:t>http://gdstc.gd.gov.cn/kjzx_n/gdkj_n/content/post_4606351.html</w:t>
      </w:r>
      <w:r>
        <w:fldChar w:fldCharType="end"/>
      </w:r>
    </w:p>
    <w:p w14:paraId="29FA2E8C">
      <w:pPr>
        <w:jc w:val="left"/>
      </w:pPr>
      <w:r>
        <w:t xml:space="preserve">[3] 中华人民共和国科学技术部. 企业技术创新工程奖"无线通信终端核心芯片关键技术及产业化平台"成果介绍[EB/OL]. </w:t>
      </w:r>
      <w:r>
        <w:fldChar w:fldCharType="begin"/>
      </w:r>
      <w:r>
        <w:instrText xml:space="preserve"> HYPERLINK "https://www.most.gov.cn/ztzl/gjkxjsjldh/jldh2014/jldh2014zdzx/201501/t20150108_117325.html" </w:instrText>
      </w:r>
      <w:r>
        <w:fldChar w:fldCharType="separate"/>
      </w:r>
      <w:r>
        <w:rPr>
          <w:rStyle w:val="11"/>
        </w:rPr>
        <w:t>https://www.most.gov.cn/ztzl/gjkxjsjldh/jldh2014/jldh2014zdzx/201501/t20150108_117325.html</w:t>
      </w:r>
      <w:r>
        <w:fldChar w:fldCharType="end"/>
      </w:r>
    </w:p>
    <w:p w14:paraId="02655A23">
      <w:pPr>
        <w:jc w:val="left"/>
      </w:pPr>
      <w:r>
        <w:t xml:space="preserve">[4] 中国社会科学院. "十五五"时期中国集成电路产业创新发展[EB/OL]. </w:t>
      </w:r>
      <w:r>
        <w:fldChar w:fldCharType="begin"/>
      </w:r>
      <w:r>
        <w:instrText xml:space="preserve"> HYPERLINK "http://gjs.cssn.cn/kydt/kydt_kycg/202504/t20250425_5870875.shtml" </w:instrText>
      </w:r>
      <w:r>
        <w:fldChar w:fldCharType="separate"/>
      </w:r>
      <w:r>
        <w:rPr>
          <w:rStyle w:val="11"/>
        </w:rPr>
        <w:t>http://gjs.cssn.cn/kydt/kydt_kycg/202504/t20250425_5870875.shtml</w:t>
      </w:r>
      <w:r>
        <w:fldChar w:fldCharType="end"/>
      </w:r>
    </w:p>
    <w:p w14:paraId="4E1F0560">
      <w:pPr>
        <w:jc w:val="left"/>
      </w:pPr>
      <w:r>
        <w:t xml:space="preserve">[5] 安全内参. 关键核心技术突破的规律探索与体系构建[EB/OL]. </w:t>
      </w:r>
      <w:r>
        <w:fldChar w:fldCharType="begin"/>
      </w:r>
      <w:r>
        <w:instrText xml:space="preserve"> HYPERLINK "https://www.secrss.com/articles/12639" </w:instrText>
      </w:r>
      <w:r>
        <w:fldChar w:fldCharType="separate"/>
      </w:r>
      <w:r>
        <w:rPr>
          <w:rStyle w:val="11"/>
        </w:rPr>
        <w:t>https://www.secrss.com/articles/12639</w:t>
      </w:r>
      <w:r>
        <w:fldChar w:fldCharType="end"/>
      </w:r>
    </w:p>
    <w:p w14:paraId="0F4AE673">
      <w:pPr>
        <w:jc w:val="left"/>
      </w:pPr>
      <w:r>
        <w:t xml:space="preserve">[6] BBC中文网. 华为：美国最严禁令生效，中国电讯业巨头"断芯"[EB/OL]. </w:t>
      </w:r>
      <w:r>
        <w:fldChar w:fldCharType="begin"/>
      </w:r>
      <w:r>
        <w:instrText xml:space="preserve"> HYPERLINK "https://www.bbc.com/zhongwen/simp/business-54151243" </w:instrText>
      </w:r>
      <w:r>
        <w:fldChar w:fldCharType="separate"/>
      </w:r>
      <w:r>
        <w:rPr>
          <w:rStyle w:val="11"/>
        </w:rPr>
        <w:t>https://www.bbc.com/zhongwen/simp/business-54151243</w:t>
      </w:r>
      <w:r>
        <w:fldChar w:fldCharType="end"/>
      </w:r>
    </w:p>
    <w:p w14:paraId="6FEDA3DF">
      <w:pPr>
        <w:jc w:val="left"/>
      </w:pPr>
      <w:r>
        <w:t xml:space="preserve">[7] 经济导刊. 我国人工智能芯片发展探析[EB/OL]. </w:t>
      </w:r>
      <w:r>
        <w:fldChar w:fldCharType="begin"/>
      </w:r>
      <w:r>
        <w:instrText xml:space="preserve"> HYPERLINK "https://www.jingjidaokan.com/icms/null/null/ns:LHQ6LGY6LGM6MmM5ZTg0ZWI4NDM3MjI1MjAxODYzNDY5ODU0NzAwNmUscDosYTosbTo=/show.vsml" </w:instrText>
      </w:r>
      <w:r>
        <w:fldChar w:fldCharType="separate"/>
      </w:r>
      <w:r>
        <w:rPr>
          <w:rStyle w:val="11"/>
        </w:rPr>
        <w:t>https://www.jingjidaokan.com/icms/null/null/ns:LHQ6LGY6LGM6MmM5ZTg0ZWI4NDM3MjI1MjAxODYzNDY5ODU0NzAwNmUscDosYTosbTo=/show.vsml</w:t>
      </w:r>
      <w:r>
        <w:fldChar w:fldCharType="end"/>
      </w:r>
    </w:p>
    <w:p w14:paraId="6323DF1E">
      <w:pPr>
        <w:jc w:val="left"/>
      </w:pPr>
      <w:r>
        <w:t xml:space="preserve">[8] 中国华润. 工业软件国产化替代势在必行[EB/OL]. </w:t>
      </w:r>
      <w:r>
        <w:fldChar w:fldCharType="begin"/>
      </w:r>
      <w:r>
        <w:instrText xml:space="preserve"> HYPERLINK "https://www.crhcc.com/hydj/2022/12/a36c28502dd847e8ba6849a13c30ea7b.htm" </w:instrText>
      </w:r>
      <w:r>
        <w:fldChar w:fldCharType="separate"/>
      </w:r>
      <w:r>
        <w:rPr>
          <w:rStyle w:val="11"/>
        </w:rPr>
        <w:t>https://www.crhcc.com/hydj/2022/12/a36c28502dd847e8ba6849a13c30ea7b.htm</w:t>
      </w:r>
      <w:r>
        <w:fldChar w:fldCharType="end"/>
      </w:r>
    </w:p>
    <w:sectPr>
      <w:pgSz w:w="11906" w:h="16838"/>
      <w:pgMar w:top="1440" w:right="1803" w:bottom="1440" w:left="1803" w:header="13" w:footer="13" w:gutter="0"/>
      <w:cols w:space="0" w:num="1"/>
      <w:docGrid w:type="lines" w:linePitch="24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微软雅黑">
    <w:altName w:val="汉仪旗黑"/>
    <w:panose1 w:val="020B0503020204020204"/>
    <w:charset w:val="86"/>
    <w:family w:val="auto"/>
    <w:pitch w:val="default"/>
    <w:sig w:usb0="00000000" w:usb1="00000000" w:usb2="00000016" w:usb3="00000000" w:csb0="0004001F" w:csb1="00000000"/>
  </w:font>
  <w:font w:name="Segoe UI Emoji">
    <w:altName w:val="Apple Color Emoji"/>
    <w:panose1 w:val="020B0502040204020203"/>
    <w:charset w:val="00"/>
    <w:family w:val="auto"/>
    <w:pitch w:val="default"/>
    <w:sig w:usb0="00000000" w:usb1="00000000" w:usb2="00000000" w:usb3="00000000" w:csb0="00000001" w:csb1="00000000"/>
  </w:font>
  <w:font w:name="汉仪书宋二KW">
    <w:panose1 w:val="00020600040101010101"/>
    <w:charset w:val="86"/>
    <w:family w:val="auto"/>
    <w:pitch w:val="default"/>
    <w:sig w:usb0="A00002BF" w:usb1="18EF7CFA" w:usb2="00000016" w:usb3="00000000" w:csb0="00040000" w:csb1="00000000"/>
  </w:font>
  <w:font w:name="汉仪旗黑">
    <w:panose1 w:val="00020600040101010101"/>
    <w:charset w:val="86"/>
    <w:family w:val="auto"/>
    <w:pitch w:val="default"/>
    <w:sig w:usb0="A00002BF" w:usb1="1ACF7CFA" w:usb2="00000016" w:usb3="00000000" w:csb0="0004009F" w:csb1="DFD7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000001"/>
    <w:multiLevelType w:val="singleLevel"/>
    <w:tmpl w:val="20000001"/>
    <w:lvl w:ilvl="0" w:tentative="0">
      <w:start w:val="1"/>
      <w:numFmt w:val="decimal"/>
      <w:pStyle w:val="17"/>
      <w:suff w:val="space"/>
      <w:lvlText w:val="%1 "/>
      <w:lvlJc w:val="right"/>
      <w:rPr>
        <w:rFonts w:ascii="微软雅黑" w:hAnsi="微软雅黑" w:eastAsia="微软雅黑" w:cs="微软雅黑"/>
        <w:color w:val="C0C6CF"/>
        <w:sz w:val="16"/>
      </w:rPr>
    </w:lvl>
  </w:abstractNum>
  <w:abstractNum w:abstractNumId="1">
    <w:nsid w:val="20000002"/>
    <w:multiLevelType w:val="multilevel"/>
    <w:tmpl w:val="20000002"/>
    <w:lvl w:ilvl="0" w:tentative="0">
      <w:start w:val="1"/>
      <w:numFmt w:val="bullet"/>
      <w:lvlText w:val=""/>
      <w:lvlJc w:val="left"/>
      <w:pPr>
        <w:ind w:left="420" w:hanging="420"/>
      </w:pPr>
      <w:rPr>
        <w:rFonts w:ascii="Wingdings" w:hAnsi="Wingdings" w:eastAsia="Wingdings" w:cs="Wingdings"/>
      </w:rPr>
    </w:lvl>
    <w:lvl w:ilvl="1" w:tentative="0">
      <w:start w:val="1"/>
      <w:numFmt w:val="bullet"/>
      <w:lvlText w:val="¢"/>
      <w:lvlJc w:val="left"/>
      <w:pPr>
        <w:ind w:left="840" w:hanging="420"/>
      </w:pPr>
      <w:rPr>
        <w:rFonts w:ascii="Wingdings" w:hAnsi="Wingdings" w:eastAsia="Wingdings" w:cs="Wingdings"/>
      </w:rPr>
    </w:lvl>
    <w:lvl w:ilvl="2" w:tentative="0">
      <w:start w:val="1"/>
      <w:numFmt w:val="bullet"/>
      <w:lvlText w:val=""/>
      <w:lvlJc w:val="left"/>
      <w:pPr>
        <w:ind w:left="1260" w:hanging="420"/>
      </w:pPr>
      <w:rPr>
        <w:rFonts w:ascii="Wingdings" w:hAnsi="Wingdings" w:eastAsia="Wingdings" w:cs="Wingdings"/>
      </w:rPr>
    </w:lvl>
    <w:lvl w:ilvl="3" w:tentative="0">
      <w:start w:val="1"/>
      <w:numFmt w:val="bullet"/>
      <w:lvlText w:val=""/>
      <w:lvlJc w:val="left"/>
      <w:pPr>
        <w:ind w:left="1680" w:hanging="420"/>
      </w:pPr>
      <w:rPr>
        <w:rFonts w:ascii="Wingdings" w:hAnsi="Wingdings" w:eastAsia="Wingdings" w:cs="Wingdings"/>
      </w:rPr>
    </w:lvl>
    <w:lvl w:ilvl="4" w:tentative="0">
      <w:start w:val="1"/>
      <w:numFmt w:val="bullet"/>
      <w:lvlText w:val="¢"/>
      <w:lvlJc w:val="left"/>
      <w:pPr>
        <w:ind w:left="2100" w:hanging="420"/>
      </w:pPr>
      <w:rPr>
        <w:rFonts w:ascii="Wingdings" w:hAnsi="Wingdings" w:eastAsia="Wingdings" w:cs="Wingdings"/>
      </w:rPr>
    </w:lvl>
    <w:lvl w:ilvl="5" w:tentative="0">
      <w:start w:val="1"/>
      <w:numFmt w:val="bullet"/>
      <w:lvlText w:val=""/>
      <w:lvlJc w:val="left"/>
      <w:pPr>
        <w:ind w:left="2520" w:hanging="420"/>
      </w:pPr>
      <w:rPr>
        <w:rFonts w:ascii="Wingdings" w:hAnsi="Wingdings" w:eastAsia="Wingdings" w:cs="Wingdings"/>
      </w:rPr>
    </w:lvl>
    <w:lvl w:ilvl="6" w:tentative="0">
      <w:start w:val="1"/>
      <w:numFmt w:val="bullet"/>
      <w:lvlText w:val=""/>
      <w:lvlJc w:val="left"/>
      <w:pPr>
        <w:ind w:left="2940" w:hanging="420"/>
      </w:pPr>
      <w:rPr>
        <w:rFonts w:ascii="Wingdings" w:hAnsi="Wingdings" w:eastAsia="Wingdings" w:cs="Wingdings"/>
      </w:rPr>
    </w:lvl>
    <w:lvl w:ilvl="7" w:tentative="0">
      <w:start w:val="1"/>
      <w:numFmt w:val="bullet"/>
      <w:lvlText w:val="¢"/>
      <w:lvlJc w:val="left"/>
      <w:pPr>
        <w:ind w:left="3360" w:hanging="420"/>
      </w:pPr>
      <w:rPr>
        <w:rFonts w:ascii="Wingdings" w:hAnsi="Wingdings" w:eastAsia="Wingdings" w:cs="Wingdings"/>
      </w:rPr>
    </w:lvl>
  </w:abstractNum>
  <w:abstractNum w:abstractNumId="2">
    <w:nsid w:val="20000003"/>
    <w:multiLevelType w:val="multilevel"/>
    <w:tmpl w:val="2000000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abstractNum>
  <w:abstractNum w:abstractNumId="3">
    <w:nsid w:val="20000004"/>
    <w:multiLevelType w:val="multilevel"/>
    <w:tmpl w:val="2000000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abstractNum>
  <w:abstractNum w:abstractNumId="4">
    <w:nsid w:val="20000005"/>
    <w:multiLevelType w:val="multilevel"/>
    <w:tmpl w:val="2000000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abstractNum>
  <w:abstractNum w:abstractNumId="5">
    <w:nsid w:val="20000006"/>
    <w:multiLevelType w:val="multilevel"/>
    <w:tmpl w:val="2000000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abstractNum>
  <w:abstractNum w:abstractNumId="6">
    <w:nsid w:val="20000007"/>
    <w:multiLevelType w:val="multilevel"/>
    <w:tmpl w:val="2000000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abstractNum>
  <w:abstractNum w:abstractNumId="7">
    <w:nsid w:val="20000008"/>
    <w:multiLevelType w:val="multilevel"/>
    <w:tmpl w:val="2000000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abstractNum>
  <w:num w:numId="1">
    <w:abstractNumId w:val="0"/>
  </w:num>
  <w:num w:numId="2">
    <w:abstractNumId w:val="2"/>
  </w:num>
  <w:num w:numId="3">
    <w:abstractNumId w:val="1"/>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4"/>
  <w:doNotDisplayPageBoundaries w:val="1"/>
  <w:documentProtection w:enforcement="0"/>
  <w:defaultTabStop w:val="42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F6B73C5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extAlignment w:val="baseline"/>
    </w:pPr>
    <w:rPr>
      <w:rFonts w:ascii="微软雅黑" w:hAnsi="微软雅黑" w:eastAsia="微软雅黑" w:cs="微软雅黑"/>
      <w:color w:val="080F17"/>
      <w:sz w:val="22"/>
    </w:rPr>
  </w:style>
  <w:style w:type="paragraph" w:styleId="2">
    <w:name w:val="heading 1"/>
    <w:basedOn w:val="1"/>
    <w:qFormat/>
    <w:uiPriority w:val="0"/>
    <w:pPr>
      <w:spacing w:before="390" w:after="120" w:line="634" w:lineRule="exact"/>
      <w:outlineLvl w:val="0"/>
    </w:pPr>
    <w:rPr>
      <w:b/>
      <w:sz w:val="38"/>
    </w:rPr>
  </w:style>
  <w:style w:type="paragraph" w:styleId="3">
    <w:name w:val="heading 2"/>
    <w:basedOn w:val="1"/>
    <w:qFormat/>
    <w:uiPriority w:val="0"/>
    <w:pPr>
      <w:spacing w:before="330" w:after="120" w:line="536" w:lineRule="exact"/>
      <w:outlineLvl w:val="1"/>
    </w:pPr>
    <w:rPr>
      <w:b/>
      <w:sz w:val="32"/>
    </w:rPr>
  </w:style>
  <w:style w:type="paragraph" w:styleId="4">
    <w:name w:val="heading 3"/>
    <w:basedOn w:val="1"/>
    <w:qFormat/>
    <w:uiPriority w:val="0"/>
    <w:pPr>
      <w:spacing w:before="300" w:after="120" w:line="488" w:lineRule="exact"/>
      <w:outlineLvl w:val="2"/>
    </w:pPr>
    <w:rPr>
      <w:b/>
      <w:sz w:val="30"/>
    </w:rPr>
  </w:style>
  <w:style w:type="paragraph" w:styleId="5">
    <w:name w:val="heading 4"/>
    <w:basedOn w:val="1"/>
    <w:qFormat/>
    <w:uiPriority w:val="0"/>
    <w:pPr>
      <w:spacing w:before="270" w:after="120" w:line="439" w:lineRule="exact"/>
      <w:outlineLvl w:val="3"/>
    </w:pPr>
    <w:rPr>
      <w:b/>
      <w:sz w:val="26"/>
    </w:rPr>
  </w:style>
  <w:style w:type="paragraph" w:styleId="6">
    <w:name w:val="heading 5"/>
    <w:basedOn w:val="1"/>
    <w:qFormat/>
    <w:uiPriority w:val="0"/>
    <w:pPr>
      <w:spacing w:before="240" w:after="120" w:line="390" w:lineRule="exact"/>
      <w:outlineLvl w:val="4"/>
    </w:pPr>
    <w:rPr>
      <w:b/>
      <w:sz w:val="22"/>
    </w:rPr>
  </w:style>
  <w:style w:type="paragraph" w:styleId="7">
    <w:name w:val="heading 6"/>
    <w:basedOn w:val="1"/>
    <w:qFormat/>
    <w:uiPriority w:val="0"/>
    <w:pPr>
      <w:spacing w:before="240" w:after="120" w:line="390" w:lineRule="exact"/>
      <w:outlineLvl w:val="5"/>
    </w:pPr>
    <w:rPr>
      <w:b/>
      <w:sz w:val="22"/>
    </w:rPr>
  </w:style>
  <w:style w:type="character" w:default="1" w:styleId="10">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table" w:styleId="9">
    <w:name w:val="Table Grid"/>
    <w:qFormat/>
    <w:uiPriority w:val="0"/>
    <w:tblPr>
      <w:tblBorders>
        <w:top w:val="single" w:color="080F17" w:sz="6" w:space="0"/>
        <w:left w:val="single" w:color="080F17" w:sz="6" w:space="0"/>
        <w:bottom w:val="single" w:color="080F17" w:sz="6" w:space="0"/>
        <w:right w:val="single" w:color="080F17" w:sz="6" w:space="0"/>
        <w:insideH w:val="single" w:color="080F17" w:sz="6" w:space="0"/>
        <w:insideV w:val="single" w:color="080F17" w:sz="6" w:space="0"/>
      </w:tblBorders>
      <w:tblCellMar>
        <w:left w:w="108" w:type="dxa"/>
        <w:right w:w="108" w:type="dxa"/>
      </w:tblCellMar>
    </w:tblPr>
  </w:style>
  <w:style w:type="character" w:styleId="11">
    <w:name w:val="Hyperlink"/>
    <w:qFormat/>
    <w:uiPriority w:val="0"/>
    <w:rPr>
      <w:color w:val="0A6CFF"/>
      <w:u w:val="single" w:color="0A6CFF"/>
    </w:rPr>
  </w:style>
  <w:style w:type="paragraph" w:customStyle="1" w:styleId="12">
    <w:name w:val="MainTitle"/>
    <w:basedOn w:val="1"/>
    <w:qFormat/>
    <w:uiPriority w:val="0"/>
    <w:pPr>
      <w:pBdr>
        <w:bottom w:val="single" w:color="E2E6ED" w:sz="6" w:space="5"/>
      </w:pBdr>
      <w:spacing w:before="180" w:after="480" w:line="780" w:lineRule="exact"/>
    </w:pPr>
    <w:rPr>
      <w:b/>
      <w:sz w:val="44"/>
    </w:rPr>
  </w:style>
  <w:style w:type="character" w:customStyle="1" w:styleId="13">
    <w:name w:val="DateTime"/>
    <w:qFormat/>
    <w:uiPriority w:val="0"/>
    <w:rPr>
      <w:color w:val="0A6CFF"/>
    </w:rPr>
  </w:style>
  <w:style w:type="paragraph" w:customStyle="1" w:styleId="14">
    <w:name w:val="Blockquote"/>
    <w:basedOn w:val="1"/>
    <w:qFormat/>
    <w:uiPriority w:val="0"/>
    <w:pPr>
      <w:pBdr>
        <w:left w:val="single" w:color="E2E6ED" w:sz="36" w:space="12"/>
      </w:pBdr>
      <w:ind w:left="330" w:firstLine="0"/>
    </w:pPr>
    <w:rPr>
      <w:color w:val="767C85"/>
      <w:sz w:val="22"/>
    </w:rPr>
  </w:style>
  <w:style w:type="character" w:customStyle="1" w:styleId="15">
    <w:name w:val="Code"/>
    <w:qFormat/>
    <w:uiPriority w:val="0"/>
    <w:rPr>
      <w:bdr w:val="single" w:color="E2E6ED" w:sz="6" w:space="0"/>
    </w:rPr>
  </w:style>
  <w:style w:type="character" w:customStyle="1" w:styleId="16">
    <w:name w:val="Emoji"/>
    <w:qFormat/>
    <w:uiPriority w:val="0"/>
    <w:rPr>
      <w:rFonts w:ascii="Segoe UI Emoji" w:hAnsi="Segoe UI Emoji" w:eastAsia="Segoe UI Emoji" w:cs="Segoe UI Emoji"/>
    </w:rPr>
  </w:style>
  <w:style w:type="paragraph" w:customStyle="1" w:styleId="17">
    <w:name w:val="CodeBlock"/>
    <w:basedOn w:val="1"/>
    <w:qFormat/>
    <w:uiPriority w:val="0"/>
    <w:pPr>
      <w:numPr>
        <w:ilvl w:val="0"/>
        <w:numId w:val="1"/>
      </w:numPr>
      <w:pBdr>
        <w:top w:val="single" w:color="E2E6ED" w:sz="6" w:space="8"/>
        <w:left w:val="single" w:color="E2E6ED" w:sz="6" w:space="26"/>
        <w:bottom w:val="single" w:color="E2E6ED" w:sz="6" w:space="8"/>
        <w:right w:val="single" w:color="E2E6ED" w:sz="6" w:space="0"/>
      </w:pBdr>
      <w:shd w:val="clear" w:color="FFFFFF" w:fill="F5F7F9"/>
      <w:spacing w:before="0" w:after="0" w:line="300" w:lineRule="exact"/>
      <w:ind w:left="540" w:firstLine="0"/>
    </w:pPr>
    <w:rPr>
      <w:sz w:val="18"/>
    </w:rPr>
  </w:style>
  <w:style w:type="table" w:customStyle="1" w:styleId="18">
    <w:name w:val="HighlightBlock"/>
    <w:qFormat/>
    <w:uiPriority w:val="0"/>
    <w:tblPr>
      <w:tblBorders>
        <w:top w:val="single" w:color="FEC794" w:sz="6" w:space="0"/>
        <w:left w:val="single" w:color="FEC794" w:sz="6" w:space="0"/>
        <w:bottom w:val="single" w:color="FEC794" w:sz="6" w:space="0"/>
        <w:right w:val="single" w:color="FEC794" w:sz="6" w:space="0"/>
        <w:insideH w:val="single" w:color="FEC794" w:sz="6" w:space="0"/>
        <w:insideV w:val="single" w:color="FEC794" w:sz="6" w:space="0"/>
      </w:tblBorders>
      <w:tblCellMar>
        <w:left w:w="108" w:type="dxa"/>
        <w:right w:w="108" w:type="dxa"/>
      </w:tblCellMar>
    </w:tblPr>
  </w:style>
  <w:style w:type="paragraph" w:customStyle="1" w:styleId="19">
    <w:name w:val="Seperate"/>
    <w:basedOn w:val="1"/>
    <w:qFormat/>
    <w:uiPriority w:val="0"/>
    <w:pPr>
      <w:spacing w:before="0" w:after="0" w:line="120" w:lineRule="exact"/>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TotalTime>3</TotalTime>
  <ScaleCrop>false</ScaleCrop>
  <LinksUpToDate>false</LinksUpToDate>
  <Application>WPS Office_7.5.0.8993_F1E327BC-269C-435d-A152-05C5408002CA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2025-07-01T22:46:00Z</dcterms:created>
  <dc:creator>webotl</dc:creator>
  <cp:lastModifiedBy>WPS_1701235513</cp:lastModifiedBy>
  <dcterms:modified xsi:type="dcterms:W3CDTF">2025-07-01T14:49:02Z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webotl</vt:lpwstr>
  </property>
  <property fmtid="{D5CDD505-2E9C-101B-9397-08002B2CF9AE}" pid="3" name="KSOProductBuildVer">
    <vt:lpwstr>2052-7.5.0.8993</vt:lpwstr>
  </property>
  <property fmtid="{D5CDD505-2E9C-101B-9397-08002B2CF9AE}" pid="4" name="ICV">
    <vt:lpwstr>30CB3C076861FF04DE846368DF96FDDA_42</vt:lpwstr>
  </property>
</Properties>
</file>