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55" w:rsidRDefault="009330D9" w:rsidP="009330D9">
      <w:pPr>
        <w:pStyle w:val="Titel"/>
      </w:pPr>
      <w:r>
        <w:t>Begriffserklärung</w:t>
      </w:r>
    </w:p>
    <w:p w:rsidR="009330D9" w:rsidRDefault="009330D9" w:rsidP="009330D9">
      <w:pPr>
        <w:rPr>
          <w:i/>
        </w:rPr>
      </w:pPr>
      <w:r>
        <w:t xml:space="preserve">Zum Sub-Projekt </w:t>
      </w:r>
      <w:r>
        <w:rPr>
          <w:i/>
        </w:rPr>
        <w:t>Benutzerverwaltung</w:t>
      </w:r>
    </w:p>
    <w:p w:rsidR="009330D9" w:rsidRDefault="009330D9" w:rsidP="009330D9">
      <w:pPr>
        <w:rPr>
          <w:b w:val="0"/>
          <w:i/>
        </w:rPr>
      </w:pPr>
      <w:r>
        <w:rPr>
          <w:b w:val="0"/>
          <w:i/>
        </w:rPr>
        <w:br w:type="page"/>
      </w:r>
    </w:p>
    <w:p w:rsidR="009330D9" w:rsidRDefault="009330D9" w:rsidP="009330D9">
      <w:pPr>
        <w:pStyle w:val="berschrift1"/>
      </w:pPr>
      <w:r>
        <w:lastRenderedPageBreak/>
        <w:t>Einleitung</w:t>
      </w:r>
    </w:p>
    <w:p w:rsidR="009330D9" w:rsidRDefault="009330D9" w:rsidP="009330D9">
      <w:r>
        <w:t>Dieses Dokument dient als Erläuterung zu den in den Dokumentationen verwendeten projektspezifischen Begriffen und stellt somit eine Referenz da.</w:t>
      </w:r>
    </w:p>
    <w:p w:rsidR="009330D9" w:rsidRDefault="009330D9" w:rsidP="009330D9">
      <w:pPr>
        <w:pStyle w:val="berschrift1"/>
      </w:pPr>
      <w:r>
        <w:t>Begriffe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294"/>
        <w:gridCol w:w="6351"/>
      </w:tblGrid>
      <w:tr w:rsidR="006079E1" w:rsidRPr="00783513" w:rsidTr="00047229">
        <w:trPr>
          <w:trHeight w:val="949"/>
        </w:trPr>
        <w:tc>
          <w:tcPr>
            <w:tcW w:w="425" w:type="dxa"/>
            <w:shd w:val="clear" w:color="auto" w:fill="BFBFBF" w:themeFill="background1" w:themeFillShade="BF"/>
            <w:vAlign w:val="center"/>
          </w:tcPr>
          <w:p w:rsidR="006079E1" w:rsidRPr="00783513" w:rsidRDefault="006079E1" w:rsidP="00ED7487">
            <w:pPr>
              <w:jc w:val="center"/>
              <w:rPr>
                <w:sz w:val="18"/>
              </w:rPr>
            </w:pPr>
            <w:r w:rsidRPr="00783513">
              <w:rPr>
                <w:sz w:val="18"/>
              </w:rPr>
              <w:t>Nr</w:t>
            </w:r>
          </w:p>
        </w:tc>
        <w:tc>
          <w:tcPr>
            <w:tcW w:w="2294" w:type="dxa"/>
            <w:vAlign w:val="center"/>
          </w:tcPr>
          <w:p w:rsidR="006079E1" w:rsidRPr="00783513" w:rsidRDefault="006079E1" w:rsidP="00ED7487">
            <w:pPr>
              <w:jc w:val="center"/>
              <w:rPr>
                <w:sz w:val="18"/>
              </w:rPr>
            </w:pPr>
            <w:r w:rsidRPr="00783513">
              <w:rPr>
                <w:sz w:val="18"/>
              </w:rPr>
              <w:t>Referenzname</w:t>
            </w:r>
          </w:p>
        </w:tc>
        <w:tc>
          <w:tcPr>
            <w:tcW w:w="6351" w:type="dxa"/>
            <w:vAlign w:val="center"/>
          </w:tcPr>
          <w:p w:rsidR="006079E1" w:rsidRPr="00783513" w:rsidRDefault="006079E1" w:rsidP="00ED7487">
            <w:pPr>
              <w:jc w:val="center"/>
              <w:rPr>
                <w:sz w:val="18"/>
              </w:rPr>
            </w:pPr>
            <w:r w:rsidRPr="00783513">
              <w:rPr>
                <w:sz w:val="18"/>
              </w:rPr>
              <w:t>Erläuterung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1</w:t>
            </w:r>
          </w:p>
        </w:tc>
        <w:tc>
          <w:tcPr>
            <w:tcW w:w="2294" w:type="dxa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DMO</w:t>
            </w:r>
          </w:p>
        </w:tc>
        <w:tc>
          <w:tcPr>
            <w:tcW w:w="6351" w:type="dxa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 xml:space="preserve">Ist ein Akronym für Datenbank-Modellierung-Objekt und bezeigt sich auf einen Eintrag in der Tabelle </w:t>
            </w:r>
            <w:r w:rsidRPr="00783513">
              <w:rPr>
                <w:i/>
                <w:sz w:val="18"/>
              </w:rPr>
              <w:t xml:space="preserve">Datamanagement. </w:t>
            </w:r>
            <w:r w:rsidRPr="00783513">
              <w:rPr>
                <w:sz w:val="18"/>
              </w:rPr>
              <w:t>Ein Eintrag in dieser Tabelle kommt einem Gesamtpaket eines Benutzerprofils gleich.</w:t>
            </w:r>
            <w:r w:rsidR="00DB5188" w:rsidRPr="00783513">
              <w:rPr>
                <w:sz w:val="18"/>
              </w:rPr>
              <w:t xml:space="preserve"> Dieses Enthält jeweils die Tabellen: Card, Door und Table. (Eine Erläuterung des Datenbank-Modells findet sich im Dokument </w:t>
            </w:r>
            <w:r w:rsidR="00DB5188" w:rsidRPr="00783513">
              <w:rPr>
                <w:i/>
                <w:sz w:val="18"/>
              </w:rPr>
              <w:t xml:space="preserve">Informationen Benutzerverwaltung </w:t>
            </w:r>
            <w:r w:rsidR="00DB5188" w:rsidRPr="00783513">
              <w:rPr>
                <w:sz w:val="18"/>
              </w:rPr>
              <w:t>unter Punkt 3 )</w:t>
            </w:r>
          </w:p>
        </w:tc>
      </w:tr>
      <w:tr w:rsidR="009330D9" w:rsidRPr="00783513" w:rsidTr="00047229">
        <w:trPr>
          <w:trHeight w:val="452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2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Card</w:t>
            </w:r>
          </w:p>
        </w:tc>
        <w:tc>
          <w:tcPr>
            <w:tcW w:w="6351" w:type="dxa"/>
          </w:tcPr>
          <w:p w:rsidR="009330D9" w:rsidRPr="00783513" w:rsidRDefault="005479EF" w:rsidP="00515EDA">
            <w:pPr>
              <w:rPr>
                <w:sz w:val="18"/>
              </w:rPr>
            </w:pPr>
            <w:r w:rsidRPr="00783513">
              <w:rPr>
                <w:sz w:val="18"/>
              </w:rPr>
              <w:t xml:space="preserve">Der Begriff bezeichnet einen Eintrag in der Tabelle Card </w:t>
            </w:r>
            <w:r w:rsidR="00515EDA" w:rsidRPr="00783513">
              <w:rPr>
                <w:sz w:val="18"/>
              </w:rPr>
              <w:t>und</w:t>
            </w:r>
            <w:r w:rsidRPr="00783513">
              <w:rPr>
                <w:sz w:val="18"/>
              </w:rPr>
              <w:t xml:space="preserve"> </w:t>
            </w:r>
            <w:r w:rsidR="00515EDA" w:rsidRPr="00783513">
              <w:rPr>
                <w:sz w:val="18"/>
              </w:rPr>
              <w:t>stellt</w:t>
            </w:r>
            <w:r w:rsidRPr="00783513">
              <w:rPr>
                <w:sz w:val="18"/>
              </w:rPr>
              <w:t xml:space="preserve"> eine Karteikarte mit den dazugehörigen Informationen dar (Begriffe, Color, etc.)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3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Door</w:t>
            </w:r>
          </w:p>
        </w:tc>
        <w:tc>
          <w:tcPr>
            <w:tcW w:w="6351" w:type="dxa"/>
          </w:tcPr>
          <w:p w:rsidR="009330D9" w:rsidRPr="00783513" w:rsidRDefault="005479EF" w:rsidP="00E82178">
            <w:pPr>
              <w:rPr>
                <w:i/>
                <w:sz w:val="18"/>
              </w:rPr>
            </w:pPr>
            <w:r w:rsidRPr="00783513">
              <w:rPr>
                <w:sz w:val="18"/>
              </w:rPr>
              <w:t xml:space="preserve">Der Begriff sollte im Programmkontext ein Ordner darstellen welcher Stacks </w:t>
            </w:r>
            <w:r w:rsidR="00E82178" w:rsidRPr="00783513">
              <w:rPr>
                <w:sz w:val="18"/>
              </w:rPr>
              <w:t>desselben</w:t>
            </w:r>
            <w:r w:rsidRPr="00783513">
              <w:rPr>
                <w:sz w:val="18"/>
              </w:rPr>
              <w:t xml:space="preserve"> </w:t>
            </w:r>
            <w:r w:rsidR="00E82178" w:rsidRPr="00783513">
              <w:rPr>
                <w:sz w:val="18"/>
              </w:rPr>
              <w:t>Themengebiets</w:t>
            </w:r>
            <w:r w:rsidRPr="00783513">
              <w:rPr>
                <w:sz w:val="18"/>
              </w:rPr>
              <w:t xml:space="preserve"> beherbergt. 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4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Stack</w:t>
            </w:r>
          </w:p>
        </w:tc>
        <w:tc>
          <w:tcPr>
            <w:tcW w:w="6351" w:type="dxa"/>
          </w:tcPr>
          <w:p w:rsidR="009330D9" w:rsidRPr="00783513" w:rsidRDefault="00E82178" w:rsidP="003B0EFA">
            <w:pPr>
              <w:rPr>
                <w:sz w:val="18"/>
              </w:rPr>
            </w:pPr>
            <w:r w:rsidRPr="00783513">
              <w:rPr>
                <w:sz w:val="18"/>
              </w:rPr>
              <w:t xml:space="preserve">Ein Stack ist eine untergeordnete Verzeichniseinheit von Doors und fasst mehrere Cards zusammen. Stacks können sowohl selbst erstellt als auch von Quizlet (Lernplattform </w:t>
            </w:r>
            <w:hyperlink r:id="rId8" w:history="1">
              <w:r w:rsidR="003B0EFA" w:rsidRPr="00783513">
                <w:rPr>
                  <w:rStyle w:val="Hyperlink"/>
                  <w:sz w:val="18"/>
                </w:rPr>
                <w:t>https://quizlet.com/</w:t>
              </w:r>
            </w:hyperlink>
            <w:r w:rsidRPr="00783513">
              <w:rPr>
                <w:sz w:val="18"/>
              </w:rPr>
              <w:t>)</w:t>
            </w:r>
            <w:r w:rsidR="003B0EFA" w:rsidRPr="00783513">
              <w:rPr>
                <w:sz w:val="18"/>
              </w:rPr>
              <w:t xml:space="preserve"> </w:t>
            </w:r>
            <w:r w:rsidRPr="00783513">
              <w:rPr>
                <w:sz w:val="18"/>
              </w:rPr>
              <w:t>importiert werden.</w:t>
            </w:r>
          </w:p>
        </w:tc>
      </w:tr>
      <w:tr w:rsidR="009330D9" w:rsidRPr="00783513" w:rsidTr="00047229">
        <w:trPr>
          <w:trHeight w:val="452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5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Derive-Berechtigungen</w:t>
            </w:r>
          </w:p>
        </w:tc>
        <w:tc>
          <w:tcPr>
            <w:tcW w:w="6351" w:type="dxa"/>
          </w:tcPr>
          <w:p w:rsidR="009330D9" w:rsidRPr="00783513" w:rsidRDefault="00515EDA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Bezeichnet eine Erweiterung der Standardberechtigungen und enthält somit zu diesen die folgenden Berechtigungen: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8"/>
              </w:numPr>
              <w:rPr>
                <w:sz w:val="18"/>
              </w:rPr>
            </w:pPr>
            <w:r w:rsidRPr="00783513">
              <w:rPr>
                <w:sz w:val="18"/>
              </w:rPr>
              <w:t>Upload des lokalen auf das ursprüngliche DMO ist erlaubt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8"/>
              </w:numPr>
              <w:rPr>
                <w:sz w:val="18"/>
              </w:rPr>
            </w:pPr>
            <w:r w:rsidRPr="00783513">
              <w:rPr>
                <w:sz w:val="18"/>
              </w:rPr>
              <w:t xml:space="preserve">Die hochgeladenen Klone werden </w:t>
            </w:r>
            <w:r w:rsidR="00C20253" w:rsidRPr="00783513">
              <w:rPr>
                <w:sz w:val="18"/>
              </w:rPr>
              <w:t>im ursprünglichen DMO als neuer Stack angezeigt.</w:t>
            </w:r>
            <w:r w:rsidRPr="00783513">
              <w:rPr>
                <w:sz w:val="18"/>
              </w:rPr>
              <w:t xml:space="preserve"> </w:t>
            </w: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6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Teamwork-Berechtigungen</w:t>
            </w:r>
          </w:p>
        </w:tc>
        <w:tc>
          <w:tcPr>
            <w:tcW w:w="6351" w:type="dxa"/>
          </w:tcPr>
          <w:p w:rsidR="00783513" w:rsidRPr="00783513" w:rsidRDefault="00783513" w:rsidP="00783513">
            <w:pPr>
              <w:rPr>
                <w:sz w:val="18"/>
              </w:rPr>
            </w:pPr>
            <w:r w:rsidRPr="00783513">
              <w:rPr>
                <w:sz w:val="18"/>
              </w:rPr>
              <w:t>Die Teamwork-Berechtigung ist dazu gedacht, Gruppen die gemeinsame Arbeit an einem Stack zu ermöglichen. Sie ist wiederum eine Erweiterung der Derive-Berechtigung und enthält somit alle Standardberechtigungen, alle Derive-Rechte sowie die im Folgenden aufgelisteten Rechte:</w:t>
            </w:r>
          </w:p>
          <w:p w:rsidR="00783513" w:rsidRPr="00783513" w:rsidRDefault="00783513" w:rsidP="00783513">
            <w:pPr>
              <w:pStyle w:val="Listenabsatz"/>
              <w:numPr>
                <w:ilvl w:val="0"/>
                <w:numId w:val="19"/>
              </w:numPr>
              <w:spacing w:line="256" w:lineRule="auto"/>
              <w:rPr>
                <w:sz w:val="18"/>
              </w:rPr>
            </w:pPr>
            <w:r w:rsidRPr="00783513">
              <w:rPr>
                <w:sz w:val="18"/>
              </w:rPr>
              <w:t>Upload des lokalen Klons auf das ursprüngliche Datamanagement-Objekt sowie Integration in den bestehenden Stack ist erlaubt.</w:t>
            </w:r>
          </w:p>
          <w:p w:rsidR="00783513" w:rsidRPr="00783513" w:rsidRDefault="00783513" w:rsidP="00783513">
            <w:pPr>
              <w:pStyle w:val="Listenabsatz"/>
              <w:numPr>
                <w:ilvl w:val="0"/>
                <w:numId w:val="19"/>
              </w:numPr>
              <w:spacing w:line="256" w:lineRule="auto"/>
              <w:rPr>
                <w:sz w:val="18"/>
              </w:rPr>
            </w:pPr>
            <w:r w:rsidRPr="00783513">
              <w:rPr>
                <w:sz w:val="18"/>
              </w:rPr>
              <w:t>Mergen ist bei bestehender Internetverbindung stets erlaubt, einzige Einschränkung ist das untenstehende Lock-System.</w:t>
            </w:r>
          </w:p>
          <w:p w:rsidR="00783513" w:rsidRPr="00783513" w:rsidRDefault="00783513" w:rsidP="00783513">
            <w:pPr>
              <w:pStyle w:val="Listenabsatz"/>
              <w:numPr>
                <w:ilvl w:val="0"/>
                <w:numId w:val="19"/>
              </w:numPr>
              <w:spacing w:line="256" w:lineRule="auto"/>
              <w:rPr>
                <w:sz w:val="18"/>
              </w:rPr>
            </w:pPr>
            <w:r w:rsidRPr="00783513">
              <w:rPr>
                <w:sz w:val="18"/>
              </w:rPr>
              <w:t>Wenn zu dem Zeitpunkt, an dem ein Merge-Vorgang gestartet wird, bereits ein anderer Merge-Vorgang (von einem anderen Benutzer) auf den gleichen Stack ausgeführt wird, so wird der neu gestartete Merge-Vorgang abgebrochen und der Benutzer wird gebeten dies später (wenn der erste Merge-Vorgang abgeschlossen ist) erneut zu versuchen.</w:t>
            </w:r>
          </w:p>
          <w:p w:rsidR="00C20253" w:rsidRPr="00783513" w:rsidRDefault="00C20253" w:rsidP="00783513">
            <w:pPr>
              <w:pStyle w:val="Listenabsatz"/>
              <w:numPr>
                <w:ilvl w:val="0"/>
                <w:numId w:val="19"/>
              </w:numPr>
              <w:rPr>
                <w:sz w:val="18"/>
              </w:rPr>
            </w:pPr>
          </w:p>
        </w:tc>
      </w:tr>
      <w:tr w:rsidR="009330D9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9330D9" w:rsidRPr="00783513" w:rsidRDefault="009330D9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7</w:t>
            </w:r>
          </w:p>
        </w:tc>
        <w:tc>
          <w:tcPr>
            <w:tcW w:w="2294" w:type="dxa"/>
          </w:tcPr>
          <w:p w:rsidR="009330D9" w:rsidRPr="00783513" w:rsidRDefault="006079E1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Standardberechtigungen</w:t>
            </w:r>
          </w:p>
        </w:tc>
        <w:tc>
          <w:tcPr>
            <w:tcW w:w="6351" w:type="dxa"/>
          </w:tcPr>
          <w:p w:rsidR="009330D9" w:rsidRPr="00783513" w:rsidRDefault="00515EDA" w:rsidP="009330D9">
            <w:pPr>
              <w:rPr>
                <w:sz w:val="18"/>
              </w:rPr>
            </w:pPr>
            <w:r w:rsidRPr="00783513">
              <w:rPr>
                <w:sz w:val="18"/>
              </w:rPr>
              <w:t>Bezeichnet die Berechtigungen, welcher jeder Benutzer automatisch auf jedes Datamanagement-Objekt erhält. Folgende Elemente sind enthalten: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7"/>
              </w:numPr>
              <w:rPr>
                <w:sz w:val="18"/>
              </w:rPr>
            </w:pPr>
            <w:r w:rsidRPr="00783513">
              <w:rPr>
                <w:sz w:val="18"/>
              </w:rPr>
              <w:t>Leserechte auf alle DMOs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7"/>
              </w:numPr>
              <w:rPr>
                <w:sz w:val="18"/>
              </w:rPr>
            </w:pPr>
            <w:r w:rsidRPr="00783513">
              <w:rPr>
                <w:sz w:val="18"/>
              </w:rPr>
              <w:t xml:space="preserve">Download-Berechtigungen -&gt; Es wird demnach ein Klon eines fremden Stacks erstellt und in der benutzereigenen Datenbank abgespeichert </w:t>
            </w:r>
          </w:p>
          <w:p w:rsidR="00515EDA" w:rsidRPr="00783513" w:rsidRDefault="00515EDA" w:rsidP="00515EDA">
            <w:pPr>
              <w:pStyle w:val="Listenabsatz"/>
              <w:numPr>
                <w:ilvl w:val="0"/>
                <w:numId w:val="17"/>
              </w:numPr>
              <w:rPr>
                <w:sz w:val="18"/>
              </w:rPr>
            </w:pPr>
            <w:r w:rsidRPr="00783513">
              <w:rPr>
                <w:sz w:val="18"/>
              </w:rPr>
              <w:t>Klone können lediglich mit dem eigenen DMO synchronisiert werden</w:t>
            </w:r>
          </w:p>
        </w:tc>
      </w:tr>
      <w:tr w:rsidR="0000624E" w:rsidRPr="00783513" w:rsidTr="00047229">
        <w:trPr>
          <w:trHeight w:val="427"/>
        </w:trPr>
        <w:tc>
          <w:tcPr>
            <w:tcW w:w="425" w:type="dxa"/>
            <w:shd w:val="clear" w:color="auto" w:fill="BFBFBF" w:themeFill="background1" w:themeFillShade="BF"/>
          </w:tcPr>
          <w:p w:rsidR="0000624E" w:rsidRPr="00783513" w:rsidRDefault="0000624E" w:rsidP="009330D9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294" w:type="dxa"/>
          </w:tcPr>
          <w:p w:rsidR="0000624E" w:rsidRPr="00783513" w:rsidRDefault="0000624E" w:rsidP="009330D9">
            <w:pPr>
              <w:rPr>
                <w:sz w:val="18"/>
              </w:rPr>
            </w:pPr>
            <w:r>
              <w:rPr>
                <w:sz w:val="18"/>
              </w:rPr>
              <w:t>DID</w:t>
            </w:r>
          </w:p>
        </w:tc>
        <w:tc>
          <w:tcPr>
            <w:tcW w:w="6351" w:type="dxa"/>
          </w:tcPr>
          <w:p w:rsidR="0000624E" w:rsidRPr="0000624E" w:rsidRDefault="0000624E" w:rsidP="00046C08">
            <w:pPr>
              <w:rPr>
                <w:sz w:val="18"/>
              </w:rPr>
            </w:pPr>
            <w:r>
              <w:rPr>
                <w:sz w:val="18"/>
              </w:rPr>
              <w:t xml:space="preserve">Ist ein einer Namensbezeichnung dieser Begriff vorhanden, wird auf den Primärschlüssel eines Eintrages in der Tabelle </w:t>
            </w:r>
            <w:r>
              <w:rPr>
                <w:i/>
                <w:sz w:val="18"/>
              </w:rPr>
              <w:t>Datamanagemen</w:t>
            </w:r>
            <w:r w:rsidR="00046C08">
              <w:rPr>
                <w:i/>
                <w:sz w:val="18"/>
              </w:rPr>
              <w:t xml:space="preserve">t </w:t>
            </w:r>
            <w:bookmarkStart w:id="0" w:name="_GoBack"/>
            <w:bookmarkEnd w:id="0"/>
            <w:r>
              <w:rPr>
                <w:sz w:val="18"/>
              </w:rPr>
              <w:t>verwiesen. Dies, da die Zugehörigkeit durch den Namen eindeutig zu einem Eintrag besteht.</w:t>
            </w:r>
          </w:p>
        </w:tc>
      </w:tr>
    </w:tbl>
    <w:p w:rsidR="009330D9" w:rsidRPr="009330D9" w:rsidRDefault="009330D9" w:rsidP="009330D9"/>
    <w:sectPr w:rsidR="009330D9" w:rsidRPr="009330D9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0D9" w:rsidRDefault="009330D9" w:rsidP="007F3E8A">
      <w:pPr>
        <w:spacing w:after="0" w:line="240" w:lineRule="auto"/>
      </w:pPr>
      <w:r>
        <w:separator/>
      </w:r>
    </w:p>
  </w:endnote>
  <w:endnote w:type="continuationSeparator" w:id="0">
    <w:p w:rsidR="009330D9" w:rsidRDefault="009330D9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76E640" wp14:editId="0B6BF055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A69C9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046C08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046C08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00624E" w:rsidP="00DF368F">
    <w:pPr>
      <w:pStyle w:val="Fuzeile"/>
    </w:pPr>
    <w:fldSimple w:instr=" FILENAME   \* MERGEFORMAT ">
      <w:r w:rsidR="00047229">
        <w:rPr>
          <w:noProof/>
        </w:rPr>
        <w:t>Begriffserklärung.docx</w:t>
      </w:r>
    </w:fldSimple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0D9" w:rsidRDefault="009330D9" w:rsidP="007F3E8A">
      <w:pPr>
        <w:spacing w:after="0" w:line="240" w:lineRule="auto"/>
      </w:pPr>
      <w:r>
        <w:separator/>
      </w:r>
    </w:p>
  </w:footnote>
  <w:footnote w:type="continuationSeparator" w:id="0">
    <w:p w:rsidR="009330D9" w:rsidRDefault="009330D9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B8F6B3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046C08">
      <w:rPr>
        <w:noProof/>
      </w:rPr>
      <w:t>05.07.2017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CB1012B"/>
    <w:multiLevelType w:val="hybridMultilevel"/>
    <w:tmpl w:val="148E0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E021A"/>
    <w:multiLevelType w:val="multilevel"/>
    <w:tmpl w:val="0807001D"/>
    <w:numStyleLink w:val="Listen"/>
  </w:abstractNum>
  <w:abstractNum w:abstractNumId="10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16F5539"/>
    <w:multiLevelType w:val="hybridMultilevel"/>
    <w:tmpl w:val="50D8F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2253C"/>
    <w:multiLevelType w:val="hybridMultilevel"/>
    <w:tmpl w:val="502C2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26D3E83"/>
    <w:multiLevelType w:val="multilevel"/>
    <w:tmpl w:val="0807001D"/>
    <w:numStyleLink w:val="Listen"/>
  </w:abstractNum>
  <w:abstractNum w:abstractNumId="17" w15:restartNumberingAfterBreak="0">
    <w:nsid w:val="73031A12"/>
    <w:multiLevelType w:val="multilevel"/>
    <w:tmpl w:val="0807001D"/>
    <w:numStyleLink w:val="Listen"/>
  </w:abstractNum>
  <w:abstractNum w:abstractNumId="18" w15:restartNumberingAfterBreak="0">
    <w:nsid w:val="78C865BC"/>
    <w:multiLevelType w:val="hybridMultilevel"/>
    <w:tmpl w:val="6EF4F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7"/>
  </w:num>
  <w:num w:numId="14">
    <w:abstractNumId w:val="17"/>
  </w:num>
  <w:num w:numId="15">
    <w:abstractNumId w:val="9"/>
  </w:num>
  <w:num w:numId="16">
    <w:abstractNumId w:val="16"/>
  </w:num>
  <w:num w:numId="17">
    <w:abstractNumId w:val="12"/>
  </w:num>
  <w:num w:numId="18">
    <w:abstractNumId w:val="8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D9"/>
    <w:rsid w:val="0000624E"/>
    <w:rsid w:val="00046C08"/>
    <w:rsid w:val="00047229"/>
    <w:rsid w:val="000764C0"/>
    <w:rsid w:val="00080770"/>
    <w:rsid w:val="0011313B"/>
    <w:rsid w:val="00256556"/>
    <w:rsid w:val="00276455"/>
    <w:rsid w:val="002B6F4A"/>
    <w:rsid w:val="002E3FED"/>
    <w:rsid w:val="0033548B"/>
    <w:rsid w:val="003A17C7"/>
    <w:rsid w:val="003B0EFA"/>
    <w:rsid w:val="0043387D"/>
    <w:rsid w:val="00493978"/>
    <w:rsid w:val="004A09B4"/>
    <w:rsid w:val="004E583C"/>
    <w:rsid w:val="004F335C"/>
    <w:rsid w:val="00506184"/>
    <w:rsid w:val="00515EDA"/>
    <w:rsid w:val="00541A22"/>
    <w:rsid w:val="005479EF"/>
    <w:rsid w:val="005A67ED"/>
    <w:rsid w:val="005F4DF4"/>
    <w:rsid w:val="006079E1"/>
    <w:rsid w:val="00663B73"/>
    <w:rsid w:val="006B70E9"/>
    <w:rsid w:val="006C640C"/>
    <w:rsid w:val="006F4807"/>
    <w:rsid w:val="007222DA"/>
    <w:rsid w:val="00746807"/>
    <w:rsid w:val="0077021E"/>
    <w:rsid w:val="0078025E"/>
    <w:rsid w:val="00783513"/>
    <w:rsid w:val="007F3E8A"/>
    <w:rsid w:val="00806346"/>
    <w:rsid w:val="00873CF8"/>
    <w:rsid w:val="008B68E8"/>
    <w:rsid w:val="008C493B"/>
    <w:rsid w:val="008F7428"/>
    <w:rsid w:val="009330D9"/>
    <w:rsid w:val="009771B4"/>
    <w:rsid w:val="00985608"/>
    <w:rsid w:val="009A2C80"/>
    <w:rsid w:val="00A57A80"/>
    <w:rsid w:val="00AB382B"/>
    <w:rsid w:val="00B23E19"/>
    <w:rsid w:val="00C20253"/>
    <w:rsid w:val="00CD59B3"/>
    <w:rsid w:val="00D0690F"/>
    <w:rsid w:val="00D07C8B"/>
    <w:rsid w:val="00D25B99"/>
    <w:rsid w:val="00D7479F"/>
    <w:rsid w:val="00DB5188"/>
    <w:rsid w:val="00DF368F"/>
    <w:rsid w:val="00E467E4"/>
    <w:rsid w:val="00E82178"/>
    <w:rsid w:val="00E971B3"/>
    <w:rsid w:val="00E97A0B"/>
    <w:rsid w:val="00ED7487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chartTrackingRefBased/>
  <w15:docId w15:val="{FCFE0460-ED3A-4B9C-AFAB-91B1C275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qFormat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82178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229"/>
    <w:rPr>
      <w:rFonts w:ascii="Segoe UI" w:hAnsi="Segoe UI" w:cs="Segoe UI"/>
      <w:b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itarbeiter\FrithjofHoppe\Vorlagen\CC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CCVorlage.dotx</Template>
  <TotalTime>0</TotalTime>
  <Pages>2</Pages>
  <Words>402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25</cp:revision>
  <cp:lastPrinted>2017-06-16T11:09:00Z</cp:lastPrinted>
  <dcterms:created xsi:type="dcterms:W3CDTF">2017-06-16T09:24:00Z</dcterms:created>
  <dcterms:modified xsi:type="dcterms:W3CDTF">2017-07-05T10:19:00Z</dcterms:modified>
</cp:coreProperties>
</file>