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32"/>
        </w:rPr>
        <w:t>GEOSENTRI USER EVALUATION QUESTIONNAIRE</w:t>
      </w:r>
    </w:p>
    <w:p>
      <w:pPr>
        <w:spacing w:after="40"/>
        <w:jc w:val="center"/>
      </w:pPr>
      <w:r>
        <w:rPr>
          <w:rFonts w:ascii="Arial" w:hAnsi="Arial"/>
          <w:b/>
          <w:sz w:val="22"/>
        </w:rPr>
        <w:t>Mobile Application — Police Personnel</w:t>
      </w:r>
    </w:p>
    <w:p>
      <w:pPr>
        <w:spacing w:after="160"/>
        <w:jc w:val="center"/>
      </w:pPr>
      <w:r>
        <w:rPr>
          <w:rFonts w:ascii="Arial" w:hAnsi="Arial"/>
          <w:i/>
          <w:color w:val="111111"/>
          <w:sz w:val="17"/>
        </w:rPr>
        <w:t>GeoSentri: An IoT-Based Real-Time GPS Monitoring System for Police Personnel</w:t>
      </w:r>
    </w:p>
    <w:tbl>
      <w:tblPr>
        <w:tblStyle w:val="TableGrid"/>
        <w:tblW w:type="dxa" w:w="10800"/>
        <w:jc w:val="center"/>
        <w:tblLayout w:type="fixed"/>
        <w:tblLook w:firstColumn="1" w:firstRow="1" w:lastColumn="0" w:lastRow="0" w:noHBand="0" w:noVBand="1" w:val="04A0"/>
      </w:tblPr>
      <w:tblGrid>
        <w:gridCol w:w="6408"/>
        <w:gridCol w:w="4392"/>
      </w:tblGrid>
      <w:tr>
        <w:trPr>
          <w:cantSplit/>
        </w:trPr>
        <w:tc>
          <w:tcPr>
            <w:tcW w:type="dxa" w:w="5472"/>
            <w:vAlign w:val="center"/>
          </w:tcPr>
          <w:p>
            <w:pPr>
              <w:spacing w:after="0" w:before="0"/>
              <w:jc w:val="left"/>
            </w:pPr>
            <w:r/>
            <w:r>
              <w:rPr>
                <w:rFonts w:ascii="Arial" w:hAnsi="Arial"/>
                <w:b w:val="0"/>
                <w:color w:val="111111"/>
                <w:sz w:val="16"/>
              </w:rPr>
              <w:t>Respondent Code/Name (Optional): ______________________________</w:t>
            </w:r>
          </w:p>
        </w:tc>
        <w:tc>
          <w:tcPr>
            <w:tcW w:type="dxa" w:w="5472"/>
            <w:vAlign w:val="center"/>
          </w:tcPr>
          <w:p>
            <w:pPr>
              <w:spacing w:after="0" w:before="0"/>
              <w:jc w:val="left"/>
            </w:pPr>
            <w:r/>
            <w:r>
              <w:rPr>
                <w:rFonts w:ascii="Arial" w:hAnsi="Arial"/>
                <w:b w:val="0"/>
                <w:color w:val="111111"/>
                <w:sz w:val="16"/>
              </w:rPr>
              <w:t>Date: ____________________</w:t>
            </w:r>
          </w:p>
        </w:tc>
      </w:tr>
      <w:tr>
        <w:trPr>
          <w:cantSplit/>
        </w:trPr>
        <w:tc>
          <w:tcPr>
            <w:tcW w:type="dxa" w:w="5472"/>
            <w:vAlign w:val="center"/>
          </w:tcPr>
          <w:p>
            <w:pPr>
              <w:spacing w:after="0" w:before="0"/>
              <w:jc w:val="left"/>
            </w:pPr>
            <w:r/>
            <w:r>
              <w:rPr>
                <w:rFonts w:ascii="Arial" w:hAnsi="Arial"/>
                <w:b/>
                <w:color w:val="111111"/>
                <w:sz w:val="16"/>
              </w:rPr>
              <w:t>Respondent Role: Police Personnel</w:t>
            </w:r>
          </w:p>
        </w:tc>
        <w:tc>
          <w:tcPr>
            <w:tcW w:type="dxa" w:w="5472"/>
            <w:vAlign w:val="center"/>
          </w:tcPr>
          <w:p>
            <w:pPr>
              <w:spacing w:after="0" w:before="0"/>
              <w:jc w:val="left"/>
            </w:pPr>
            <w:r/>
            <w:r>
              <w:rPr>
                <w:rFonts w:ascii="Arial" w:hAnsi="Arial"/>
                <w:b w:val="0"/>
                <w:color w:val="111111"/>
                <w:sz w:val="16"/>
              </w:rPr>
              <w:t>Experience Using GeoSentri: ____________________</w:t>
            </w:r>
          </w:p>
        </w:tc>
      </w:tr>
    </w:tbl>
    <w:p>
      <w:pPr>
        <w:spacing w:after="0"/>
      </w:pPr>
    </w:p>
    <w:p>
      <w:pPr>
        <w:spacing w:after="40"/>
      </w:pPr>
      <w:r>
        <w:rPr>
          <w:rFonts w:ascii="Arial" w:hAnsi="Arial"/>
          <w:b/>
          <w:color w:val="000000"/>
          <w:sz w:val="19"/>
        </w:rPr>
        <w:t>Evaluation Objective</w:t>
      </w:r>
    </w:p>
    <w:p>
      <w:pPr>
        <w:spacing w:after="100"/>
      </w:pPr>
      <w:r>
        <w:rPr>
          <w:rFonts w:ascii="Arial" w:hAnsi="Arial"/>
          <w:sz w:val="17"/>
        </w:rPr>
        <w:t>Evaluate the GeoSentri mobile application in terms of Functional Suitability, Usability, Reliability, Performance Efficiency, and Security based on ISO/IEC 25010:2011.</w:t>
      </w:r>
    </w:p>
    <w:p>
      <w:pPr>
        <w:spacing w:after="40"/>
      </w:pPr>
      <w:r>
        <w:rPr>
          <w:rFonts w:ascii="Arial" w:hAnsi="Arial"/>
          <w:b/>
          <w:color w:val="000000"/>
          <w:sz w:val="19"/>
        </w:rPr>
        <w:t>Instructions</w:t>
      </w:r>
    </w:p>
    <w:p>
      <w:pPr>
        <w:spacing w:after="100"/>
      </w:pPr>
      <w:r>
        <w:rPr>
          <w:rFonts w:ascii="Arial" w:hAnsi="Arial"/>
          <w:sz w:val="17"/>
        </w:rPr>
        <w:t>This questionnaire is intended only for Police Personnel. After using GeoSentri, check one box that best represents your level of agreement with each statement. Answer all items based on your actual experience. Each of the five quality criteria contains eight statements, for a total of 40 statements.</w:t>
      </w:r>
    </w:p>
    <w:tbl>
      <w:tblPr>
        <w:tblStyle w:val="TableGrid"/>
        <w:tblW w:type="dxa" w:w="10944"/>
        <w:jc w:val="center"/>
        <w:tblLayout w:type="fixed"/>
        <w:tblLook w:firstColumn="1" w:firstRow="1" w:lastColumn="0" w:lastRow="0" w:noHBand="0" w:noVBand="1" w:val="04A0"/>
      </w:tblPr>
      <w:tblGrid>
        <w:gridCol w:w="2189"/>
        <w:gridCol w:w="2189"/>
        <w:gridCol w:w="2189"/>
        <w:gridCol w:w="2189"/>
        <w:gridCol w:w="2189"/>
      </w:tblGrid>
      <w:tr>
        <w:trPr>
          <w:cantSplit/>
        </w:trPr>
        <w:tc>
          <w:tcPr>
            <w:tcW w:type="dxa" w:w="2189"/>
            <w:vAlign w:val="center"/>
            <w:shd w:fill="000000"/>
          </w:tcPr>
          <w:p>
            <w:pPr>
              <w:spacing w:after="0" w:before="0"/>
              <w:jc w:val="center"/>
            </w:pPr>
            <w:r/>
            <w:r>
              <w:rPr>
                <w:rFonts w:ascii="Arial" w:hAnsi="Arial"/>
                <w:b/>
                <w:color w:val="FFFFFF"/>
                <w:sz w:val="17"/>
              </w:rPr>
              <w:t>5</w:t>
            </w:r>
          </w:p>
        </w:tc>
        <w:tc>
          <w:tcPr>
            <w:tcW w:type="dxa" w:w="2189"/>
            <w:vAlign w:val="center"/>
            <w:shd w:fill="000000"/>
          </w:tcPr>
          <w:p>
            <w:pPr>
              <w:spacing w:after="0" w:before="0"/>
              <w:jc w:val="center"/>
            </w:pPr>
            <w:r/>
            <w:r>
              <w:rPr>
                <w:rFonts w:ascii="Arial" w:hAnsi="Arial"/>
                <w:b/>
                <w:color w:val="FFFFFF"/>
                <w:sz w:val="17"/>
              </w:rPr>
              <w:t>4</w:t>
            </w:r>
          </w:p>
        </w:tc>
        <w:tc>
          <w:tcPr>
            <w:tcW w:type="dxa" w:w="2189"/>
            <w:vAlign w:val="center"/>
            <w:shd w:fill="000000"/>
          </w:tcPr>
          <w:p>
            <w:pPr>
              <w:spacing w:after="0" w:before="0"/>
              <w:jc w:val="center"/>
            </w:pPr>
            <w:r/>
            <w:r>
              <w:rPr>
                <w:rFonts w:ascii="Arial" w:hAnsi="Arial"/>
                <w:b/>
                <w:color w:val="FFFFFF"/>
                <w:sz w:val="17"/>
              </w:rPr>
              <w:t>3</w:t>
            </w:r>
          </w:p>
        </w:tc>
        <w:tc>
          <w:tcPr>
            <w:tcW w:type="dxa" w:w="2189"/>
            <w:vAlign w:val="center"/>
            <w:shd w:fill="000000"/>
          </w:tcPr>
          <w:p>
            <w:pPr>
              <w:spacing w:after="0" w:before="0"/>
              <w:jc w:val="center"/>
            </w:pPr>
            <w:r/>
            <w:r>
              <w:rPr>
                <w:rFonts w:ascii="Arial" w:hAnsi="Arial"/>
                <w:b/>
                <w:color w:val="FFFFFF"/>
                <w:sz w:val="17"/>
              </w:rPr>
              <w:t>2</w:t>
            </w:r>
          </w:p>
        </w:tc>
        <w:tc>
          <w:tcPr>
            <w:tcW w:type="dxa" w:w="2189"/>
            <w:vAlign w:val="center"/>
            <w:shd w:fill="000000"/>
          </w:tcPr>
          <w:p>
            <w:pPr>
              <w:spacing w:after="0" w:before="0"/>
              <w:jc w:val="center"/>
            </w:pPr>
            <w:r/>
            <w:r>
              <w:rPr>
                <w:rFonts w:ascii="Arial" w:hAnsi="Arial"/>
                <w:b/>
                <w:color w:val="FFFFFF"/>
                <w:sz w:val="17"/>
              </w:rPr>
              <w:t>1</w:t>
            </w:r>
          </w:p>
        </w:tc>
      </w:tr>
      <w:tr>
        <w:trPr>
          <w:cantSplit/>
        </w:trPr>
        <w:tc>
          <w:tcPr>
            <w:tcW w:type="dxa" w:w="2189"/>
            <w:vAlign w:val="center"/>
          </w:tcPr>
          <w:p>
            <w:pPr>
              <w:spacing w:after="0" w:before="0"/>
              <w:jc w:val="center"/>
            </w:pPr>
            <w:r/>
            <w:r>
              <w:rPr>
                <w:rFonts w:ascii="Arial" w:hAnsi="Arial"/>
                <w:b w:val="0"/>
                <w:color w:val="111111"/>
                <w:sz w:val="15"/>
              </w:rPr>
              <w:t>Strongly Agree</w:t>
            </w:r>
          </w:p>
        </w:tc>
        <w:tc>
          <w:tcPr>
            <w:tcW w:type="dxa" w:w="2189"/>
            <w:vAlign w:val="center"/>
          </w:tcPr>
          <w:p>
            <w:pPr>
              <w:spacing w:after="0" w:before="0"/>
              <w:jc w:val="center"/>
            </w:pPr>
            <w:r/>
            <w:r>
              <w:rPr>
                <w:rFonts w:ascii="Arial" w:hAnsi="Arial"/>
                <w:b w:val="0"/>
                <w:color w:val="111111"/>
                <w:sz w:val="15"/>
              </w:rPr>
              <w:t>Agree</w:t>
            </w:r>
          </w:p>
        </w:tc>
        <w:tc>
          <w:tcPr>
            <w:tcW w:type="dxa" w:w="2189"/>
            <w:vAlign w:val="center"/>
          </w:tcPr>
          <w:p>
            <w:pPr>
              <w:spacing w:after="0" w:before="0"/>
              <w:jc w:val="center"/>
            </w:pPr>
            <w:r/>
            <w:r>
              <w:rPr>
                <w:rFonts w:ascii="Arial" w:hAnsi="Arial"/>
                <w:b w:val="0"/>
                <w:color w:val="111111"/>
                <w:sz w:val="15"/>
              </w:rPr>
              <w:t>Neutral</w:t>
            </w:r>
          </w:p>
        </w:tc>
        <w:tc>
          <w:tcPr>
            <w:tcW w:type="dxa" w:w="2189"/>
            <w:vAlign w:val="center"/>
          </w:tcPr>
          <w:p>
            <w:pPr>
              <w:spacing w:after="0" w:before="0"/>
              <w:jc w:val="center"/>
            </w:pPr>
            <w:r/>
            <w:r>
              <w:rPr>
                <w:rFonts w:ascii="Arial" w:hAnsi="Arial"/>
                <w:b w:val="0"/>
                <w:color w:val="111111"/>
                <w:sz w:val="15"/>
              </w:rPr>
              <w:t>Disagree</w:t>
            </w:r>
          </w:p>
        </w:tc>
        <w:tc>
          <w:tcPr>
            <w:tcW w:type="dxa" w:w="2189"/>
            <w:vAlign w:val="center"/>
          </w:tcPr>
          <w:p>
            <w:pPr>
              <w:spacing w:after="0" w:before="0"/>
              <w:jc w:val="center"/>
            </w:pPr>
            <w:r/>
            <w:r>
              <w:rPr>
                <w:rFonts w:ascii="Arial" w:hAnsi="Arial"/>
                <w:b w:val="0"/>
                <w:color w:val="111111"/>
                <w:sz w:val="15"/>
              </w:rPr>
              <w:t>Strongly Disagree</w:t>
            </w:r>
          </w:p>
        </w:tc>
      </w:tr>
    </w:tbl>
    <w:p>
      <w:pPr>
        <w:spacing w:after="0"/>
      </w:pPr>
    </w:p>
    <w:p>
      <w:pPr>
        <w:keepNext/>
        <w:spacing w:before="120" w:after="20"/>
      </w:pPr>
      <w:r>
        <w:rPr>
          <w:rFonts w:ascii="Arial" w:hAnsi="Arial"/>
          <w:b/>
          <w:color w:val="000000"/>
          <w:sz w:val="20"/>
        </w:rPr>
        <w:t>A. FUNCTIONAL SUITABILITY</w:t>
      </w:r>
    </w:p>
    <w:p>
      <w:pPr>
        <w:keepNext/>
        <w:spacing w:after="60"/>
      </w:pPr>
      <w:r>
        <w:rPr>
          <w:rFonts w:ascii="Arial" w:hAnsi="Arial"/>
          <w:i/>
          <w:color w:val="111111"/>
          <w:sz w:val="15"/>
        </w:rPr>
        <w:t>Coverage: Functional Completeness (FCO), Functional Correctness (FCR), and Functional Appropriateness (FAP)</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mobile application provides the functions needed to view my current deployment, assigned tasks, and duty status. (FCO)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The mobile application provides the functions needed for location updating, backup requests, notifications, and report submission. (FCO)</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The mobile application provides access to submitted-report history and account functions needed during duty. (FCO)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Deployment, task, and schedule details displayed in the application match my assigned duty information. (FCR)</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The application displays the correct latest GPS status and location information received for my account. (FCR)</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Notifications and report history display the correct event, status, and related record. (FCR)</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map, task, and notification functions help me understand and perform my assigned duties effectively. (FAP)</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The backup-request and reporting functions help me request assistance and document incidents effectively. (FAP)</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B. USABILITY</w:t>
      </w:r>
    </w:p>
    <w:p>
      <w:pPr>
        <w:keepNext/>
        <w:spacing w:after="60"/>
      </w:pPr>
      <w:r>
        <w:rPr>
          <w:rFonts w:ascii="Arial" w:hAnsi="Arial"/>
          <w:i/>
          <w:color w:val="111111"/>
          <w:sz w:val="15"/>
        </w:rPr>
        <w:t>Coverage: Learnability (L), Operability (O), User Error Protection (UEP), and User Interface Aesthetics (UIA)</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sign-in and verification-code process is easy to learn. (L)</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The purpose of the Map, Tasks, Reports, and Account screens is easy to understand. (L)</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I can move between the main screens without difficulty. (O)</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Buttons, filters, forms, and map controls are easy to operate. (O)</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Validation messages clearly explain missing or incorrect information. (UEP)</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Confirmations, saved drafts, and retry options help prevent lost, accidental, or duplicate actions. (UEP)</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Text, labels, buttons, and status information are easy to read. (UIA)</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Colors, icons, spacing, and screen layouts provide a consistent and professional appearance. (UIA)</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C. RELIABILITY</w:t>
      </w:r>
    </w:p>
    <w:p>
      <w:pPr>
        <w:keepNext/>
        <w:spacing w:after="60"/>
      </w:pPr>
      <w:r>
        <w:rPr>
          <w:rFonts w:ascii="Arial" w:hAnsi="Arial"/>
          <w:i/>
          <w:color w:val="111111"/>
          <w:sz w:val="15"/>
        </w:rPr>
        <w:t>Coverage: Availability (AV), Fault Tolerance (FT), and Recoverability (RC)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mobile application is accessible and ready during normal duty operations. (AV)</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My assigned deployments, tasks, and submitted-report history are available when needed. (AV)</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GPS updates, notifications, backup requests, and reporting functions work consistently during normal use. (AV)</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The application provides clear and safe behavior when the internet or mobile signal is temporarily unavailable. (FT)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Previously viewed tasks and submitted reports remain available when temporary connectivity problems occur. (FT)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The application avoids unnecessary duplicate report submissions when offline synchronization is retried. (FT)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application returns to normal operation after internet connectivity is restored. (RC)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Pending reports or saved report drafts can be recovered and synchronized after connectivity returns. (RC)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D. PERFORMANCE EFFICIENCY</w:t>
      </w:r>
    </w:p>
    <w:p>
      <w:pPr>
        <w:keepNext/>
        <w:spacing w:after="60"/>
      </w:pPr>
      <w:r>
        <w:rPr>
          <w:rFonts w:ascii="Arial" w:hAnsi="Arial"/>
          <w:i/>
          <w:color w:val="111111"/>
          <w:sz w:val="15"/>
        </w:rPr>
        <w:t>Coverage: Time Behavior (TB), Resource Utilization (RU), and Capacity (C)</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Mobile screens load within an acceptable amount of time. (TB)</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Sign-in, search, filtering, backup-request, and report-submission actions respond promptly. (TB)</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New notifications and GPS information appear soon after the related data are received. (TB)</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The application operates without causing noticeable device slowdown during normal use. (RU)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Map movement, scrolling, card expansion, and screen transitions operate smoothly. (RU)</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The application performs ordinary tasks without unnecessary repeated loading or excessive resource use. (RU)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application remains responsive while displaying multiple map markers, tasks, reports, or notifications. (C)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The application remains responsive during repeated normal operations throughout a duty period. (C)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keepNext/>
        <w:spacing w:before="120" w:after="20"/>
      </w:pPr>
      <w:r>
        <w:rPr>
          <w:rFonts w:ascii="Arial" w:hAnsi="Arial"/>
          <w:b/>
          <w:color w:val="000000"/>
          <w:sz w:val="20"/>
        </w:rPr>
        <w:t>E. SECURITY</w:t>
      </w:r>
    </w:p>
    <w:p>
      <w:pPr>
        <w:keepNext/>
        <w:spacing w:after="60"/>
      </w:pPr>
      <w:r>
        <w:rPr>
          <w:rFonts w:ascii="Arial" w:hAnsi="Arial"/>
          <w:i/>
          <w:color w:val="111111"/>
          <w:sz w:val="15"/>
        </w:rPr>
        <w:t>Coverage: Confidentiality (CF), Integrity (IN), Accountability (AC), and Authenticity (AU)</w:t>
      </w:r>
    </w:p>
    <w:tbl>
      <w:tblPr>
        <w:tblStyle w:val="TableGrid"/>
        <w:tblW w:type="dxa" w:w="10944"/>
        <w:jc w:val="center"/>
        <w:tblLayout w:type="fixed"/>
        <w:tblLook w:firstColumn="1" w:firstRow="1" w:lastColumn="0" w:lastRow="0" w:noHBand="0" w:noVBand="1" w:val="04A0"/>
      </w:tblPr>
      <w:tblGrid>
        <w:gridCol w:w="518"/>
        <w:gridCol w:w="7762"/>
        <w:gridCol w:w="533"/>
        <w:gridCol w:w="533"/>
        <w:gridCol w:w="533"/>
        <w:gridCol w:w="533"/>
        <w:gridCol w:w="533"/>
      </w:tblGrid>
      <w:tr>
        <w:trPr>
          <w:cantSplit/>
          <w:tblHeader w:val="true"/>
        </w:trPr>
        <w:tc>
          <w:tcPr>
            <w:tcW w:type="dxa" w:w="1563"/>
            <w:vMerge w:val="restart"/>
            <w:vAlign w:val="center"/>
            <w:shd w:fill="000000"/>
          </w:tcPr>
          <w:p>
            <w:pPr>
              <w:spacing w:after="0" w:before="0"/>
              <w:jc w:val="center"/>
            </w:pPr>
            <w:r/>
            <w:r>
              <w:rPr>
                <w:rFonts w:ascii="Arial" w:hAnsi="Arial"/>
                <w:b/>
                <w:color w:val="FFFFFF"/>
                <w:sz w:val="15"/>
              </w:rPr>
              <w:t>NO.</w:t>
            </w:r>
          </w:p>
        </w:tc>
        <w:tc>
          <w:tcPr>
            <w:tcW w:type="dxa" w:w="1563"/>
            <w:vMerge w:val="restart"/>
            <w:vAlign w:val="center"/>
            <w:shd w:fill="000000"/>
          </w:tcPr>
          <w:p>
            <w:pPr>
              <w:spacing w:after="0" w:before="0"/>
              <w:jc w:val="center"/>
            </w:pPr>
            <w:r/>
            <w:r>
              <w:rPr>
                <w:rFonts w:ascii="Arial" w:hAnsi="Arial"/>
                <w:b/>
                <w:color w:val="FFFFFF"/>
                <w:sz w:val="15"/>
              </w:rPr>
              <w:t>STATEMENTS</w:t>
            </w:r>
          </w:p>
        </w:tc>
        <w:tc>
          <w:tcPr>
            <w:tcW w:type="dxa" w:w="7815"/>
            <w:gridSpan w:val="5"/>
            <w:vAlign w:val="center"/>
            <w:shd w:fill="000000"/>
          </w:tcPr>
          <w:p>
            <w:pPr>
              <w:spacing w:after="0" w:before="0"/>
              <w:jc w:val="center"/>
            </w:pPr>
            <w:r/>
            <w:r>
              <w:rPr>
                <w:rFonts w:ascii="Arial" w:hAnsi="Arial"/>
                <w:b/>
                <w:color w:val="FFFFFF"/>
                <w:sz w:val="15"/>
              </w:rPr>
              <w:t>LEVEL OF AGREEMENT</w:t>
            </w:r>
          </w:p>
        </w:tc>
      </w:tr>
      <w:tr>
        <w:trPr>
          <w:cantSplit/>
          <w:tblHeader w:val="true"/>
        </w:trPr>
        <w:tc>
          <w:tcPr>
            <w:tcW w:type="dxa" w:w="1563"/>
            <w:vMerge/>
          </w:tcPr>
          <w:p/>
        </w:tc>
        <w:tc>
          <w:tcPr>
            <w:tcW w:type="dxa" w:w="1563"/>
            <w:vMerge/>
          </w:tcPr>
          <w:p/>
        </w:tc>
        <w:tc>
          <w:tcPr>
            <w:tcW w:type="dxa" w:w="1563"/>
            <w:vAlign w:val="center"/>
            <w:shd w:fill="000000"/>
          </w:tcPr>
          <w:p>
            <w:pPr>
              <w:spacing w:after="0" w:before="0"/>
              <w:jc w:val="center"/>
            </w:pPr>
            <w:r/>
            <w:r>
              <w:rPr>
                <w:rFonts w:ascii="Arial" w:hAnsi="Arial"/>
                <w:b/>
                <w:color w:val="FFFFFF"/>
                <w:sz w:val="15"/>
              </w:rPr>
              <w:t>5</w:t>
            </w:r>
          </w:p>
        </w:tc>
        <w:tc>
          <w:tcPr>
            <w:tcW w:type="dxa" w:w="1563"/>
            <w:vAlign w:val="center"/>
            <w:shd w:fill="000000"/>
          </w:tcPr>
          <w:p>
            <w:pPr>
              <w:spacing w:after="0" w:before="0"/>
              <w:jc w:val="center"/>
            </w:pPr>
            <w:r/>
            <w:r>
              <w:rPr>
                <w:rFonts w:ascii="Arial" w:hAnsi="Arial"/>
                <w:b/>
                <w:color w:val="FFFFFF"/>
                <w:sz w:val="15"/>
              </w:rPr>
              <w:t>4</w:t>
            </w:r>
          </w:p>
        </w:tc>
        <w:tc>
          <w:tcPr>
            <w:tcW w:type="dxa" w:w="1563"/>
            <w:vAlign w:val="center"/>
            <w:shd w:fill="000000"/>
          </w:tcPr>
          <w:p>
            <w:pPr>
              <w:spacing w:after="0" w:before="0"/>
              <w:jc w:val="center"/>
            </w:pPr>
            <w:r/>
            <w:r>
              <w:rPr>
                <w:rFonts w:ascii="Arial" w:hAnsi="Arial"/>
                <w:b/>
                <w:color w:val="FFFFFF"/>
                <w:sz w:val="15"/>
              </w:rPr>
              <w:t>3</w:t>
            </w:r>
          </w:p>
        </w:tc>
        <w:tc>
          <w:tcPr>
            <w:tcW w:type="dxa" w:w="1563"/>
            <w:vAlign w:val="center"/>
            <w:shd w:fill="000000"/>
          </w:tcPr>
          <w:p>
            <w:pPr>
              <w:spacing w:after="0" w:before="0"/>
              <w:jc w:val="center"/>
            </w:pPr>
            <w:r/>
            <w:r>
              <w:rPr>
                <w:rFonts w:ascii="Arial" w:hAnsi="Arial"/>
                <w:b/>
                <w:color w:val="FFFFFF"/>
                <w:sz w:val="15"/>
              </w:rPr>
              <w:t>2</w:t>
            </w:r>
          </w:p>
        </w:tc>
        <w:tc>
          <w:tcPr>
            <w:tcW w:type="dxa" w:w="1563"/>
            <w:vAlign w:val="center"/>
            <w:shd w:fill="000000"/>
          </w:tcPr>
          <w:p>
            <w:pPr>
              <w:spacing w:after="0" w:before="0"/>
              <w:jc w:val="center"/>
            </w:pPr>
            <w:r/>
            <w:r>
              <w:rPr>
                <w:rFonts w:ascii="Arial" w:hAnsi="Arial"/>
                <w:b/>
                <w:color w:val="FFFFFF"/>
                <w:sz w:val="15"/>
              </w:rPr>
              <w:t>1</w:t>
            </w:r>
          </w:p>
        </w:tc>
      </w:tr>
      <w:tr>
        <w:trPr>
          <w:cantSplit/>
        </w:trPr>
        <w:tc>
          <w:tcPr>
            <w:tcW w:type="dxa" w:w="1563"/>
            <w:vAlign w:val="center"/>
          </w:tcPr>
          <w:p>
            <w:pPr>
              <w:spacing w:after="0" w:before="0"/>
              <w:jc w:val="center"/>
            </w:pPr>
            <w:r/>
            <w:r>
              <w:rPr>
                <w:rFonts w:ascii="Arial" w:hAnsi="Arial"/>
                <w:b w:val="0"/>
                <w:color w:val="111111"/>
                <w:sz w:val="16"/>
              </w:rPr>
              <w:t>1</w:t>
            </w:r>
          </w:p>
        </w:tc>
        <w:tc>
          <w:tcPr>
            <w:tcW w:type="dxa" w:w="1563"/>
            <w:vAlign w:val="center"/>
          </w:tcPr>
          <w:p>
            <w:pPr>
              <w:spacing w:after="0" w:before="0"/>
              <w:jc w:val="left"/>
            </w:pPr>
            <w:r/>
            <w:r>
              <w:rPr>
                <w:rFonts w:ascii="Arial" w:hAnsi="Arial"/>
                <w:b w:val="0"/>
                <w:color w:val="111111"/>
                <w:sz w:val="16"/>
              </w:rPr>
              <w:t>The application limits personnel, location, and operational information to an authenticated account. (CF)</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2</w:t>
            </w:r>
          </w:p>
        </w:tc>
        <w:tc>
          <w:tcPr>
            <w:tcW w:type="dxa" w:w="1563"/>
            <w:shd w:fill="F2F2F2"/>
            <w:vAlign w:val="center"/>
          </w:tcPr>
          <w:p>
            <w:pPr>
              <w:spacing w:after="0" w:before="0"/>
              <w:jc w:val="left"/>
            </w:pPr>
            <w:r/>
            <w:r>
              <w:rPr>
                <w:rFonts w:ascii="Arial" w:hAnsi="Arial"/>
                <w:b w:val="0"/>
                <w:color w:val="111111"/>
                <w:sz w:val="16"/>
              </w:rPr>
              <w:t>I can access only the information and functions permitted for my police-personnel role. (CF)</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3</w:t>
            </w:r>
          </w:p>
        </w:tc>
        <w:tc>
          <w:tcPr>
            <w:tcW w:type="dxa" w:w="1563"/>
            <w:vAlign w:val="center"/>
          </w:tcPr>
          <w:p>
            <w:pPr>
              <w:spacing w:after="0" w:before="0"/>
              <w:jc w:val="left"/>
            </w:pPr>
            <w:r/>
            <w:r>
              <w:rPr>
                <w:rFonts w:ascii="Arial" w:hAnsi="Arial"/>
                <w:b w:val="0"/>
                <w:color w:val="111111"/>
                <w:sz w:val="16"/>
              </w:rPr>
              <w:t>Input validation and confirmations help prevent invalid or accidental changes to important information. (IN)</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4</w:t>
            </w:r>
          </w:p>
        </w:tc>
        <w:tc>
          <w:tcPr>
            <w:tcW w:type="dxa" w:w="1563"/>
            <w:shd w:fill="F2F2F2"/>
            <w:vAlign w:val="center"/>
          </w:tcPr>
          <w:p>
            <w:pPr>
              <w:spacing w:after="0" w:before="0"/>
              <w:jc w:val="left"/>
            </w:pPr>
            <w:r/>
            <w:r>
              <w:rPr>
                <w:rFonts w:ascii="Arial" w:hAnsi="Arial"/>
                <w:b w:val="0"/>
                <w:color w:val="111111"/>
                <w:sz w:val="16"/>
              </w:rPr>
              <w:t>Submitted reports, evidence, and report history remain complete and accurate after submission or correction. (IN)</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5</w:t>
            </w:r>
          </w:p>
        </w:tc>
        <w:tc>
          <w:tcPr>
            <w:tcW w:type="dxa" w:w="1563"/>
            <w:vAlign w:val="center"/>
          </w:tcPr>
          <w:p>
            <w:pPr>
              <w:spacing w:after="0" w:before="0"/>
              <w:jc w:val="left"/>
            </w:pPr>
            <w:r/>
            <w:r>
              <w:rPr>
                <w:rFonts w:ascii="Arial" w:hAnsi="Arial"/>
                <w:b w:val="0"/>
                <w:color w:val="111111"/>
                <w:sz w:val="16"/>
              </w:rPr>
              <w:t>My submitted reports, backup requests, and important actions are associated with my authenticated account. (AC)</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6</w:t>
            </w:r>
          </w:p>
        </w:tc>
        <w:tc>
          <w:tcPr>
            <w:tcW w:type="dxa" w:w="1563"/>
            <w:shd w:fill="F2F2F2"/>
            <w:vAlign w:val="center"/>
          </w:tcPr>
          <w:p>
            <w:pPr>
              <w:spacing w:after="0" w:before="0"/>
              <w:jc w:val="left"/>
            </w:pPr>
            <w:r/>
            <w:r>
              <w:rPr>
                <w:rFonts w:ascii="Arial" w:hAnsi="Arial"/>
                <w:b w:val="0"/>
                <w:color w:val="111111"/>
                <w:sz w:val="16"/>
              </w:rPr>
              <w:t>Notifications and history information provide the related event, time, and status needed to trace important actions. (AC)</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r>
        <w:trPr>
          <w:cantSplit/>
        </w:trPr>
        <w:tc>
          <w:tcPr>
            <w:tcW w:type="dxa" w:w="1563"/>
            <w:vAlign w:val="center"/>
          </w:tcPr>
          <w:p>
            <w:pPr>
              <w:spacing w:after="0" w:before="0"/>
              <w:jc w:val="center"/>
            </w:pPr>
            <w:r/>
            <w:r>
              <w:rPr>
                <w:rFonts w:ascii="Arial" w:hAnsi="Arial"/>
                <w:b w:val="0"/>
                <w:color w:val="111111"/>
                <w:sz w:val="16"/>
              </w:rPr>
              <w:t>7</w:t>
            </w:r>
          </w:p>
        </w:tc>
        <w:tc>
          <w:tcPr>
            <w:tcW w:type="dxa" w:w="1563"/>
            <w:vAlign w:val="center"/>
          </w:tcPr>
          <w:p>
            <w:pPr>
              <w:spacing w:after="0" w:before="0"/>
              <w:jc w:val="left"/>
            </w:pPr>
            <w:r/>
            <w:r>
              <w:rPr>
                <w:rFonts w:ascii="Arial" w:hAnsi="Arial"/>
                <w:b w:val="0"/>
                <w:color w:val="111111"/>
                <w:sz w:val="16"/>
              </w:rPr>
              <w:t>The Login ID, password, and verification-code process helps confirm that only the authorized user can sign in. (AU)</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c>
          <w:tcPr>
            <w:tcW w:type="dxa" w:w="1563"/>
            <w:vAlign w:val="center"/>
          </w:tcPr>
          <w:p>
            <w:pPr>
              <w:spacing w:after="0" w:before="0"/>
              <w:jc w:val="center"/>
            </w:pPr>
            <w:r/>
            <w:r>
              <w:rPr>
                <w:rFonts w:ascii="Arial" w:hAnsi="Arial"/>
                <w:b w:val="0"/>
                <w:color w:val="111111"/>
                <w:sz w:val="20"/>
              </w:rPr>
              <w:t>☐</w:t>
            </w:r>
          </w:p>
        </w:tc>
      </w:tr>
      <w:tr>
        <w:trPr>
          <w:cantSplit/>
        </w:trPr>
        <w:tc>
          <w:tcPr>
            <w:tcW w:type="dxa" w:w="1563"/>
            <w:shd w:fill="F2F2F2"/>
            <w:vAlign w:val="center"/>
          </w:tcPr>
          <w:p>
            <w:pPr>
              <w:spacing w:after="0" w:before="0"/>
              <w:jc w:val="center"/>
            </w:pPr>
            <w:r/>
            <w:r>
              <w:rPr>
                <w:rFonts w:ascii="Arial" w:hAnsi="Arial"/>
                <w:b w:val="0"/>
                <w:color w:val="111111"/>
                <w:sz w:val="16"/>
              </w:rPr>
              <w:t>8</w:t>
            </w:r>
          </w:p>
        </w:tc>
        <w:tc>
          <w:tcPr>
            <w:tcW w:type="dxa" w:w="1563"/>
            <w:shd w:fill="F2F2F2"/>
            <w:vAlign w:val="center"/>
          </w:tcPr>
          <w:p>
            <w:pPr>
              <w:spacing w:after="0" w:before="0"/>
              <w:jc w:val="left"/>
            </w:pPr>
            <w:r/>
            <w:r>
              <w:rPr>
                <w:rFonts w:ascii="Arial" w:hAnsi="Arial"/>
                <w:b w:val="0"/>
                <w:color w:val="111111"/>
                <w:sz w:val="16"/>
              </w:rPr>
              <w:t>Logout and session controls prevent continued access after I sign out or when my session expires. (AU)</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c>
          <w:tcPr>
            <w:tcW w:type="dxa" w:w="1563"/>
            <w:shd w:fill="F2F2F2"/>
            <w:vAlign w:val="center"/>
          </w:tcPr>
          <w:p>
            <w:pPr>
              <w:spacing w:after="0" w:before="0"/>
              <w:jc w:val="center"/>
            </w:pPr>
            <w:r/>
            <w:r>
              <w:rPr>
                <w:rFonts w:ascii="Arial" w:hAnsi="Arial"/>
                <w:b w:val="0"/>
                <w:color w:val="111111"/>
                <w:sz w:val="20"/>
              </w:rPr>
              <w:t>☐</w:t>
            </w:r>
          </w:p>
        </w:tc>
      </w:tr>
    </w:tbl>
    <w:p>
      <w:pPr>
        <w:spacing w:before="160" w:after="60"/>
      </w:pPr>
      <w:r>
        <w:rPr>
          <w:rFonts w:ascii="Arial" w:hAnsi="Arial"/>
          <w:b/>
          <w:color w:val="000000"/>
          <w:sz w:val="19"/>
        </w:rPr>
        <w:t>Comments or Suggestions</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p>
      <w:pPr>
        <w:spacing w:after="40"/>
      </w:pPr>
      <w:r>
        <w:rPr>
          <w:rFonts w:ascii="Arial" w:hAnsi="Arial"/>
          <w:sz w:val="16"/>
        </w:rPr>
        <w:t>________________________________________________________________________________________________________________</w:t>
      </w:r>
    </w:p>
    <w:sectPr w:rsidR="00FC693F" w:rsidRPr="0006063C" w:rsidSect="00034616">
      <w:footerReference w:type="default" r:id="rId9"/>
      <w:pgSz w:w="12240" w:h="18720"/>
      <w:pgMar w:top="605" w:right="648" w:bottom="605" w:left="648"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4"/>
      </w:rPr>
      <w:t>GeoSentri Mobile Application — Police Personnel Evaluation Questionnaire | ISO/IEC 25010:2011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