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400"/>
          <w:sz w:val="32"/>
        </w:rPr>
        <w:t>2.1 Narrative Business Rules</w:t>
      </w:r>
    </w:p>
    <w:p>
      <w:r>
        <w:t>Revised 29 October 2026. “Backend” identifies validation performed by the application rather than solely by the database.</w:t>
      </w:r>
    </w:p>
    <w:tbl>
      <w:tblPr>
        <w:tblStyle w:val="TableGrid"/>
        <w:tblW w:type="auto" w:w="0"/>
        <w:tblLayout w:type="fixed"/>
        <w:tblLook w:firstColumn="1" w:firstRow="1" w:lastColumn="0" w:lastRow="0" w:noHBand="0" w:noVBand="1" w:val="04A0"/>
      </w:tblPr>
      <w:tblGrid>
        <w:gridCol w:w="720"/>
        <w:gridCol w:w="3600"/>
        <w:gridCol w:w="2448"/>
        <w:gridCol w:w="3557"/>
      </w:tblGrid>
      <w:tr>
        <w:trPr>
          <w:tblHeader/>
        </w:trPr>
        <w:tc>
          <w:tcPr>
            <w:tcW w:type="dxa" w:w="720"/>
            <w:shd w:fill="006400"/>
          </w:tcPr>
          <w:p>
            <w:r>
              <w:rPr>
                <w:b/>
                <w:color w:val="FFFFFF"/>
              </w:rPr>
              <w:t>Rule No.</w:t>
            </w:r>
          </w:p>
        </w:tc>
        <w:tc>
          <w:tcPr>
            <w:tcW w:type="dxa" w:w="3600"/>
            <w:shd w:fill="006400"/>
          </w:tcPr>
          <w:p>
            <w:r>
              <w:rPr>
                <w:b/>
                <w:color w:val="FFFFFF"/>
              </w:rPr>
              <w:t>Business Rule</w:t>
            </w:r>
          </w:p>
        </w:tc>
        <w:tc>
          <w:tcPr>
            <w:tcW w:type="dxa" w:w="2448"/>
            <w:shd w:fill="006400"/>
          </w:tcPr>
          <w:p>
            <w:r>
              <w:rPr>
                <w:b/>
                <w:color w:val="FFFFFF"/>
              </w:rPr>
              <w:t>Database/Relationship Impact</w:t>
            </w:r>
          </w:p>
        </w:tc>
        <w:tc>
          <w:tcPr>
            <w:tcW w:type="dxa" w:w="3557"/>
            <w:shd w:fill="006400"/>
          </w:tcPr>
          <w:p>
            <w:r>
              <w:rPr>
                <w:b/>
                <w:color w:val="FFFFFF"/>
              </w:rPr>
              <w:t>Validation/Constraint</w:t>
            </w:r>
          </w:p>
        </w:tc>
      </w:tr>
      <w:tr>
        <w:trPr>
          <w:cantSplit/>
        </w:trPr>
        <w:tc>
          <w:tcPr>
            <w:tcW w:type="dxa" w:w="720"/>
            <w:vAlign w:val="top"/>
          </w:tcPr>
          <w:p>
            <w:pPr>
              <w:spacing w:after="100" w:before="60" w:line="247" w:lineRule="auto"/>
            </w:pPr>
            <w:r>
              <w:t>1</w:t>
            </w:r>
          </w:p>
        </w:tc>
        <w:tc>
          <w:tcPr>
            <w:tcW w:type="dxa" w:w="3600"/>
            <w:vAlign w:val="top"/>
          </w:tcPr>
          <w:p>
            <w:pPr>
              <w:spacing w:after="100" w:before="60" w:line="247" w:lineRule="auto"/>
            </w:pPr>
            <w:r>
              <w:t>Each student, teacher and admin must have a unique account ID. Emails must be unique within each role, and passwords must be stored as hashes.</w:t>
            </w:r>
          </w:p>
        </w:tc>
        <w:tc>
          <w:tcPr>
            <w:tcW w:type="dxa" w:w="2448"/>
            <w:vAlign w:val="top"/>
          </w:tcPr>
          <w:p>
            <w:pPr>
              <w:spacing w:after="100" w:before="60" w:line="247" w:lineRule="auto"/>
            </w:pPr>
            <w:r>
              <w:t>Separate Student, Teacher and Admin tables.</w:t>
            </w:r>
          </w:p>
        </w:tc>
        <w:tc>
          <w:tcPr>
            <w:tcW w:type="dxa" w:w="3557"/>
            <w:vAlign w:val="top"/>
          </w:tcPr>
          <w:p>
            <w:pPr>
              <w:spacing w:after="100" w:before="60" w:line="247" w:lineRule="auto"/>
            </w:pPr>
            <w:r>
              <w:t>PRIMARY KEY; per-table UNIQUE email; NOT NULL password_hash. Backend: hashing.</w:t>
            </w:r>
          </w:p>
        </w:tc>
      </w:tr>
      <w:tr>
        <w:trPr>
          <w:cantSplit/>
        </w:trPr>
        <w:tc>
          <w:tcPr>
            <w:tcW w:type="dxa" w:w="720"/>
            <w:vAlign w:val="top"/>
            <w:shd w:fill="F0F7F1"/>
          </w:tcPr>
          <w:p>
            <w:pPr>
              <w:spacing w:after="100" w:before="60" w:line="247" w:lineRule="auto"/>
            </w:pPr>
            <w:r>
              <w:t>2</w:t>
            </w:r>
          </w:p>
        </w:tc>
        <w:tc>
          <w:tcPr>
            <w:tcW w:type="dxa" w:w="3600"/>
            <w:vAlign w:val="top"/>
            <w:shd w:fill="F0F7F1"/>
          </w:tcPr>
          <w:p>
            <w:pPr>
              <w:spacing w:after="100" w:before="60" w:line="247" w:lineRule="auto"/>
            </w:pPr>
            <w:r>
              <w:t>Only admins may delete accounts without protected related records. Linked accounts may be deactivated instead.</w:t>
            </w:r>
          </w:p>
        </w:tc>
        <w:tc>
          <w:tcPr>
            <w:tcW w:type="dxa" w:w="2448"/>
            <w:vAlign w:val="top"/>
            <w:shd w:fill="F0F7F1"/>
          </w:tcPr>
          <w:p>
            <w:pPr>
              <w:spacing w:after="100" w:before="60" w:line="247" w:lineRule="auto"/>
            </w:pPr>
            <w:r>
              <w:t>Student.status; Teacher.status; linked records.</w:t>
            </w:r>
          </w:p>
        </w:tc>
        <w:tc>
          <w:tcPr>
            <w:tcW w:type="dxa" w:w="3557"/>
            <w:vAlign w:val="top"/>
            <w:shd w:fill="F0F7F1"/>
          </w:tcPr>
          <w:p>
            <w:pPr>
              <w:spacing w:after="100" w:before="60" w:line="247" w:lineRule="auto"/>
            </w:pPr>
            <w:r>
              <w:t>Active/Inactive status; restrictive foreign keys. Backend: admin and linked-record checks.</w:t>
            </w:r>
          </w:p>
        </w:tc>
      </w:tr>
      <w:tr>
        <w:trPr>
          <w:cantSplit/>
        </w:trPr>
        <w:tc>
          <w:tcPr>
            <w:tcW w:type="dxa" w:w="720"/>
            <w:vAlign w:val="top"/>
          </w:tcPr>
          <w:p>
            <w:pPr>
              <w:spacing w:after="100" w:before="60" w:line="247" w:lineRule="auto"/>
            </w:pPr>
            <w:r>
              <w:t>3</w:t>
            </w:r>
          </w:p>
        </w:tc>
        <w:tc>
          <w:tcPr>
            <w:tcW w:type="dxa" w:w="3600"/>
            <w:vAlign w:val="top"/>
          </w:tcPr>
          <w:p>
            <w:pPr>
              <w:spacing w:after="100" w:before="60" w:line="247" w:lineRule="auto"/>
            </w:pPr>
            <w:r>
              <w:t>A course may have many classes and must not be deleted while classes reference it.</w:t>
            </w:r>
          </w:p>
        </w:tc>
        <w:tc>
          <w:tcPr>
            <w:tcW w:type="dxa" w:w="2448"/>
            <w:vAlign w:val="top"/>
          </w:tcPr>
          <w:p>
            <w:pPr>
              <w:spacing w:after="100" w:before="60" w:line="247" w:lineRule="auto"/>
            </w:pPr>
            <w:r>
              <w:t>Course 1:M Class.</w:t>
            </w:r>
          </w:p>
        </w:tc>
        <w:tc>
          <w:tcPr>
            <w:tcW w:type="dxa" w:w="3557"/>
            <w:vAlign w:val="top"/>
          </w:tcPr>
          <w:p>
            <w:pPr>
              <w:spacing w:after="100" w:before="60" w:line="247" w:lineRule="auto"/>
            </w:pPr>
            <w:r>
              <w:t>FOREIGN KEY course_code; ON DELETE RESTRICT.</w:t>
            </w:r>
          </w:p>
        </w:tc>
      </w:tr>
      <w:tr>
        <w:trPr>
          <w:cantSplit/>
        </w:trPr>
        <w:tc>
          <w:tcPr>
            <w:tcW w:type="dxa" w:w="720"/>
            <w:vAlign w:val="top"/>
            <w:shd w:fill="F0F7F1"/>
          </w:tcPr>
          <w:p>
            <w:pPr>
              <w:spacing w:after="100" w:before="60" w:line="247" w:lineRule="auto"/>
            </w:pPr>
            <w:r>
              <w:t>4</w:t>
            </w:r>
          </w:p>
        </w:tc>
        <w:tc>
          <w:tcPr>
            <w:tcW w:type="dxa" w:w="3600"/>
            <w:vAlign w:val="top"/>
            <w:shd w:fill="F0F7F1"/>
          </w:tcPr>
          <w:p>
            <w:pPr>
              <w:spacing w:after="100" w:before="60" w:line="247" w:lineRule="auto"/>
            </w:pPr>
            <w:r>
              <w:t>Each class must have one teacher and a unique course, section, semester and academic year combination.</w:t>
            </w:r>
          </w:p>
        </w:tc>
        <w:tc>
          <w:tcPr>
            <w:tcW w:type="dxa" w:w="2448"/>
            <w:vAlign w:val="top"/>
            <w:shd w:fill="F0F7F1"/>
          </w:tcPr>
          <w:p>
            <w:pPr>
              <w:spacing w:after="100" w:before="60" w:line="247" w:lineRule="auto"/>
            </w:pPr>
            <w:r>
              <w:t>Teacher 1:M Class.</w:t>
            </w:r>
          </w:p>
        </w:tc>
        <w:tc>
          <w:tcPr>
            <w:tcW w:type="dxa" w:w="3557"/>
            <w:vAlign w:val="top"/>
            <w:shd w:fill="F0F7F1"/>
          </w:tcPr>
          <w:p>
            <w:pPr>
              <w:spacing w:after="100" w:before="60" w:line="247" w:lineRule="auto"/>
            </w:pPr>
            <w:r>
              <w:t>NOT NULL teacher_id foreign key; UNIQUE(course_code, section, semester, academic_year).</w:t>
            </w:r>
          </w:p>
        </w:tc>
      </w:tr>
      <w:tr>
        <w:trPr>
          <w:cantSplit/>
        </w:trPr>
        <w:tc>
          <w:tcPr>
            <w:tcW w:type="dxa" w:w="720"/>
            <w:vAlign w:val="top"/>
          </w:tcPr>
          <w:p>
            <w:pPr>
              <w:spacing w:after="100" w:before="60" w:line="247" w:lineRule="auto"/>
            </w:pPr>
            <w:r>
              <w:t>5</w:t>
            </w:r>
          </w:p>
        </w:tc>
        <w:tc>
          <w:tcPr>
            <w:tcW w:type="dxa" w:w="3600"/>
            <w:vAlign w:val="top"/>
          </w:tcPr>
          <w:p>
            <w:pPr>
              <w:spacing w:after="100" w:before="60" w:line="247" w:lineRule="auto"/>
            </w:pPr>
            <w:r>
              <w:t>A student may join many classes but must not enroll in the same class twice.</w:t>
            </w:r>
          </w:p>
        </w:tc>
        <w:tc>
          <w:tcPr>
            <w:tcW w:type="dxa" w:w="2448"/>
            <w:vAlign w:val="top"/>
          </w:tcPr>
          <w:p>
            <w:pPr>
              <w:spacing w:after="100" w:before="60" w:line="247" w:lineRule="auto"/>
            </w:pPr>
            <w:r>
              <w:t>Student M:N Class through Enrollment.</w:t>
            </w:r>
          </w:p>
        </w:tc>
        <w:tc>
          <w:tcPr>
            <w:tcW w:type="dxa" w:w="3557"/>
            <w:vAlign w:val="top"/>
          </w:tcPr>
          <w:p>
            <w:pPr>
              <w:spacing w:after="100" w:before="60" w:line="247" w:lineRule="auto"/>
            </w:pPr>
            <w:r>
              <w:t>Foreign keys; UNIQUE(student_id, class_id).</w:t>
            </w:r>
          </w:p>
        </w:tc>
      </w:tr>
      <w:tr>
        <w:trPr>
          <w:cantSplit/>
        </w:trPr>
        <w:tc>
          <w:tcPr>
            <w:tcW w:type="dxa" w:w="720"/>
            <w:vAlign w:val="top"/>
            <w:shd w:fill="F0F7F1"/>
          </w:tcPr>
          <w:p>
            <w:pPr>
              <w:spacing w:after="100" w:before="60" w:line="247" w:lineRule="auto"/>
            </w:pPr>
            <w:r>
              <w:t>6</w:t>
            </w:r>
          </w:p>
        </w:tc>
        <w:tc>
          <w:tcPr>
            <w:tcW w:type="dxa" w:w="3600"/>
            <w:vAlign w:val="top"/>
            <w:shd w:fill="F0F7F1"/>
          </w:tcPr>
          <w:p>
            <w:pPr>
              <w:spacing w:after="100" w:before="60" w:line="247" w:lineRule="auto"/>
            </w:pPr>
            <w:r>
              <w:t>Each assessment must belong to one class and term, with a valid type, positive maximum score and positive weight not exceeding 100.</w:t>
            </w:r>
          </w:p>
        </w:tc>
        <w:tc>
          <w:tcPr>
            <w:tcW w:type="dxa" w:w="2448"/>
            <w:vAlign w:val="top"/>
            <w:shd w:fill="F0F7F1"/>
          </w:tcPr>
          <w:p>
            <w:pPr>
              <w:spacing w:after="100" w:before="60" w:line="247" w:lineRule="auto"/>
            </w:pPr>
            <w:r>
              <w:t>Class 1:M Assessment.</w:t>
            </w:r>
          </w:p>
        </w:tc>
        <w:tc>
          <w:tcPr>
            <w:tcW w:type="dxa" w:w="3557"/>
            <w:vAlign w:val="top"/>
            <w:shd w:fill="F0F7F1"/>
          </w:tcPr>
          <w:p>
            <w:pPr>
              <w:spacing w:after="100" w:before="60" w:line="247" w:lineRule="auto"/>
            </w:pPr>
            <w:r>
              <w:t>Class foreign key; term/type ENUMs; CHECK maximum &gt; 0, weight 0–100. Backend: weight &gt; 0; two-decimal limits.</w:t>
            </w:r>
          </w:p>
        </w:tc>
      </w:tr>
      <w:tr>
        <w:trPr>
          <w:cantSplit/>
        </w:trPr>
        <w:tc>
          <w:tcPr>
            <w:tcW w:type="dxa" w:w="720"/>
            <w:vAlign w:val="top"/>
          </w:tcPr>
          <w:p>
            <w:pPr>
              <w:spacing w:after="100" w:before="60" w:line="247" w:lineRule="auto"/>
            </w:pPr>
            <w:r>
              <w:t>7</w:t>
            </w:r>
          </w:p>
        </w:tc>
        <w:tc>
          <w:tcPr>
            <w:tcW w:type="dxa" w:w="3600"/>
            <w:vAlign w:val="top"/>
          </w:tcPr>
          <w:p>
            <w:pPr>
              <w:spacing w:after="100" w:before="60" w:line="247" w:lineRule="auto"/>
            </w:pPr>
            <w:r>
              <w:t>Each enrollment may have only one grade per assessment.</w:t>
            </w:r>
          </w:p>
        </w:tc>
        <w:tc>
          <w:tcPr>
            <w:tcW w:type="dxa" w:w="2448"/>
            <w:vAlign w:val="top"/>
          </w:tcPr>
          <w:p>
            <w:pPr>
              <w:spacing w:after="100" w:before="60" w:line="247" w:lineRule="auto"/>
            </w:pPr>
            <w:r>
              <w:t>Enrollment and Assessment linked by StudentGrade.</w:t>
            </w:r>
          </w:p>
        </w:tc>
        <w:tc>
          <w:tcPr>
            <w:tcW w:type="dxa" w:w="3557"/>
            <w:vAlign w:val="top"/>
          </w:tcPr>
          <w:p>
            <w:pPr>
              <w:spacing w:after="100" w:before="60" w:line="247" w:lineRule="auto"/>
            </w:pPr>
            <w:r>
              <w:t>Foreign keys; UNIQUE(enrollment_id, assessment_id).</w:t>
            </w:r>
          </w:p>
        </w:tc>
      </w:tr>
      <w:tr>
        <w:trPr>
          <w:cantSplit/>
        </w:trPr>
        <w:tc>
          <w:tcPr>
            <w:tcW w:type="dxa" w:w="720"/>
            <w:vAlign w:val="top"/>
            <w:shd w:fill="F0F7F1"/>
          </w:tcPr>
          <w:p>
            <w:pPr>
              <w:spacing w:after="100" w:before="60" w:line="247" w:lineRule="auto"/>
            </w:pPr>
            <w:r>
              <w:t>8</w:t>
            </w:r>
          </w:p>
        </w:tc>
        <w:tc>
          <w:tcPr>
            <w:tcW w:type="dxa" w:w="3600"/>
            <w:vAlign w:val="top"/>
            <w:shd w:fill="F0F7F1"/>
          </w:tcPr>
          <w:p>
            <w:pPr>
              <w:spacing w:after="100" w:before="60" w:line="247" w:lineRule="auto"/>
            </w:pPr>
            <w:r>
              <w:t>Scores must remain blank until graded, fall between zero and the maximum, use at most two decimal places and match the enrollment’s class.</w:t>
            </w:r>
          </w:p>
        </w:tc>
        <w:tc>
          <w:tcPr>
            <w:tcW w:type="dxa" w:w="2448"/>
            <w:vAlign w:val="top"/>
            <w:shd w:fill="F0F7F1"/>
          </w:tcPr>
          <w:p>
            <w:pPr>
              <w:spacing w:after="100" w:before="60" w:line="247" w:lineRule="auto"/>
            </w:pPr>
            <w:r>
              <w:t>StudentGrade, Enrollment and Assessment.</w:t>
            </w:r>
          </w:p>
        </w:tc>
        <w:tc>
          <w:tcPr>
            <w:tcW w:type="dxa" w:w="3557"/>
            <w:vAlign w:val="top"/>
            <w:shd w:fill="F0F7F1"/>
          </w:tcPr>
          <w:p>
            <w:pPr>
              <w:spacing w:after="100" w:before="60" w:line="247" w:lineRule="auto"/>
            </w:pPr>
            <w:r>
              <w:t>Nullable DECIMAL(6,2). Backend: range, precision and same-class checks.</w:t>
            </w:r>
          </w:p>
        </w:tc>
      </w:tr>
      <w:tr>
        <w:trPr>
          <w:cantSplit/>
        </w:trPr>
        <w:tc>
          <w:tcPr>
            <w:tcW w:type="dxa" w:w="720"/>
            <w:vAlign w:val="top"/>
          </w:tcPr>
          <w:p>
            <w:pPr>
              <w:spacing w:after="100" w:before="60" w:line="247" w:lineRule="auto"/>
            </w:pPr>
            <w:r>
              <w:t>9</w:t>
            </w:r>
          </w:p>
        </w:tc>
        <w:tc>
          <w:tcPr>
            <w:tcW w:type="dxa" w:w="3600"/>
            <w:vAlign w:val="top"/>
          </w:tcPr>
          <w:p>
            <w:pPr>
              <w:spacing w:after="100" w:before="60" w:line="247" w:lineRule="auto"/>
            </w:pPr>
            <w:r>
              <w:t>Running grades must use relative weights of graded assessments only. Recorded zeros must count; ungraded items must not. Fixed totals or term splits are not required.</w:t>
            </w:r>
          </w:p>
        </w:tc>
        <w:tc>
          <w:tcPr>
            <w:tcW w:type="dxa" w:w="2448"/>
            <w:vAlign w:val="top"/>
          </w:tcPr>
          <w:p>
            <w:pPr>
              <w:spacing w:after="100" w:before="60" w:line="247" w:lineRule="auto"/>
            </w:pPr>
            <w:r>
              <w:t>Assessment and StudentGrade → Enrollment.running_grade.</w:t>
            </w:r>
          </w:p>
        </w:tc>
        <w:tc>
          <w:tcPr>
            <w:tcW w:type="dxa" w:w="3557"/>
            <w:vAlign w:val="top"/>
          </w:tcPr>
          <w:p>
            <w:pPr>
              <w:spacing w:after="100" w:before="60" w:line="247" w:lineRule="auto"/>
            </w:pPr>
            <w:r>
              <w:t>Backend: sum(score/max × weight) ÷ sum(graded weights) × 100; NULL if no qualifying grades.</w:t>
            </w:r>
          </w:p>
        </w:tc>
      </w:tr>
      <w:tr>
        <w:trPr>
          <w:cantSplit/>
        </w:trPr>
        <w:tc>
          <w:tcPr>
            <w:tcW w:type="dxa" w:w="720"/>
            <w:vAlign w:val="top"/>
            <w:shd w:fill="F0F7F1"/>
          </w:tcPr>
          <w:p>
            <w:pPr>
              <w:spacing w:after="100" w:before="60" w:line="247" w:lineRule="auto"/>
            </w:pPr>
            <w:r>
              <w:t>10</w:t>
            </w:r>
          </w:p>
        </w:tc>
        <w:tc>
          <w:tcPr>
            <w:tcW w:type="dxa" w:w="3600"/>
            <w:vAlign w:val="top"/>
            <w:shd w:fill="F0F7F1"/>
          </w:tcPr>
          <w:p>
            <w:pPr>
              <w:spacing w:after="100" w:before="60" w:line="247" w:lineRule="auto"/>
            </w:pPr>
            <w:r>
              <w:t>A running grade of at least 75% is Passed; below 75% is At risk. No running grade is Not Yet.</w:t>
            </w:r>
          </w:p>
        </w:tc>
        <w:tc>
          <w:tcPr>
            <w:tcW w:type="dxa" w:w="2448"/>
            <w:vAlign w:val="top"/>
            <w:shd w:fill="F0F7F1"/>
          </w:tcPr>
          <w:p>
            <w:pPr>
              <w:spacing w:after="100" w:before="60" w:line="247" w:lineRule="auto"/>
            </w:pPr>
            <w:r>
              <w:t>Enrollment.running_grade.</w:t>
            </w:r>
          </w:p>
        </w:tc>
        <w:tc>
          <w:tcPr>
            <w:tcW w:type="dxa" w:w="3557"/>
            <w:vAlign w:val="top"/>
            <w:shd w:fill="F0F7F1"/>
          </w:tcPr>
          <w:p>
            <w:pPr>
              <w:spacing w:after="100" w:before="60" w:line="247" w:lineRule="auto"/>
            </w:pPr>
            <w:r>
              <w:t>Nullable DECIMAL(5,2). Backend: shared calculator and 75% threshold.</w:t>
            </w:r>
          </w:p>
        </w:tc>
      </w:tr>
      <w:tr>
        <w:trPr>
          <w:cantSplit/>
        </w:trPr>
        <w:tc>
          <w:tcPr>
            <w:tcW w:type="dxa" w:w="720"/>
            <w:vAlign w:val="top"/>
          </w:tcPr>
          <w:p>
            <w:pPr>
              <w:spacing w:after="100" w:before="60" w:line="247" w:lineRule="auto"/>
            </w:pPr>
            <w:r>
              <w:t>11</w:t>
            </w:r>
          </w:p>
        </w:tc>
        <w:tc>
          <w:tcPr>
            <w:tcW w:type="dxa" w:w="3600"/>
            <w:vAlign w:val="top"/>
          </w:tcPr>
          <w:p>
            <w:pPr>
              <w:spacing w:after="100" w:before="60" w:line="247" w:lineRule="auto"/>
            </w:pPr>
            <w:r>
              <w:t>Students may request a re-check or point increase for their own graded assessments, with only one open request per grade.</w:t>
            </w:r>
          </w:p>
        </w:tc>
        <w:tc>
          <w:tcPr>
            <w:tcW w:type="dxa" w:w="2448"/>
            <w:vAlign w:val="top"/>
          </w:tcPr>
          <w:p>
            <w:pPr>
              <w:spacing w:after="100" w:before="60" w:line="247" w:lineRule="auto"/>
            </w:pPr>
            <w:r>
              <w:t>StudentGrade 1:M RevisionRequest.</w:t>
            </w:r>
          </w:p>
        </w:tc>
        <w:tc>
          <w:tcPr>
            <w:tcW w:type="dxa" w:w="3557"/>
            <w:vAlign w:val="top"/>
          </w:tcPr>
          <w:p>
            <w:pPr>
              <w:spacing w:after="100" w:before="60" w:line="247" w:lineRule="auto"/>
            </w:pPr>
            <w:r>
              <w:t>Grade foreign key; reason required; NULL points = re-check. Backend: ownership, positive points and one Pending/Under Review request.</w:t>
            </w:r>
          </w:p>
        </w:tc>
      </w:tr>
      <w:tr>
        <w:trPr>
          <w:cantSplit/>
        </w:trPr>
        <w:tc>
          <w:tcPr>
            <w:tcW w:type="dxa" w:w="720"/>
            <w:vAlign w:val="top"/>
            <w:shd w:fill="F0F7F1"/>
          </w:tcPr>
          <w:p>
            <w:pPr>
              <w:spacing w:after="100" w:before="60" w:line="247" w:lineRule="auto"/>
            </w:pPr>
            <w:r>
              <w:t>12</w:t>
            </w:r>
          </w:p>
        </w:tc>
        <w:tc>
          <w:tcPr>
            <w:tcW w:type="dxa" w:w="3600"/>
            <w:vAlign w:val="top"/>
            <w:shd w:fill="F0F7F1"/>
          </w:tcPr>
          <w:p>
            <w:pPr>
              <w:spacing w:after="100" w:before="60" w:line="247" w:lineRule="auto"/>
            </w:pPr>
            <w:r>
              <w:t>Requests must start Pending. The assigned active teacher may mark them Under Review, Approved or Closed. Approval or closure must record reviewer and time. Under Review must be audited. Final decisions must not be processed again.</w:t>
            </w:r>
          </w:p>
        </w:tc>
        <w:tc>
          <w:tcPr>
            <w:tcW w:type="dxa" w:w="2448"/>
            <w:vAlign w:val="top"/>
            <w:shd w:fill="F0F7F1"/>
          </w:tcPr>
          <w:p>
            <w:pPr>
              <w:spacing w:after="100" w:before="60" w:line="247" w:lineRule="auto"/>
            </w:pPr>
            <w:r>
              <w:t>RevisionRequest; Teacher; AuditLog.</w:t>
            </w:r>
          </w:p>
        </w:tc>
        <w:tc>
          <w:tcPr>
            <w:tcW w:type="dxa" w:w="3557"/>
            <w:vAlign w:val="top"/>
            <w:shd w:fill="F0F7F1"/>
          </w:tcPr>
          <w:p>
            <w:pPr>
              <w:spacing w:after="100" w:before="60" w:line="247" w:lineRule="auto"/>
            </w:pPr>
            <w:r>
              <w:t>Status ENUM. Backend: transition checks; reviewer/time on approval or closure; audit Under Review.</w:t>
            </w:r>
          </w:p>
        </w:tc>
      </w:tr>
      <w:tr>
        <w:trPr>
          <w:cantSplit/>
        </w:trPr>
        <w:tc>
          <w:tcPr>
            <w:tcW w:type="dxa" w:w="720"/>
            <w:vAlign w:val="top"/>
          </w:tcPr>
          <w:p>
            <w:pPr>
              <w:spacing w:after="100" w:before="60" w:line="247" w:lineRule="auto"/>
            </w:pPr>
            <w:r>
              <w:t>13</w:t>
            </w:r>
          </w:p>
        </w:tc>
        <w:tc>
          <w:tcPr>
            <w:tcW w:type="dxa" w:w="3600"/>
            <w:vAlign w:val="top"/>
          </w:tcPr>
          <w:p>
            <w:pPr>
              <w:spacing w:after="100" w:before="60" w:line="247" w:lineRule="auto"/>
            </w:pPr>
            <w:r>
              <w:t>Assigned active teachers and authorized admins may record scores. Only the assigned active teacher may decide revision requests.</w:t>
            </w:r>
          </w:p>
        </w:tc>
        <w:tc>
          <w:tcPr>
            <w:tcW w:type="dxa" w:w="2448"/>
            <w:vAlign w:val="top"/>
          </w:tcPr>
          <w:p>
            <w:pPr>
              <w:spacing w:after="100" w:before="60" w:line="247" w:lineRule="auto"/>
            </w:pPr>
            <w:r>
              <w:t>Class.teacher_id; Teacher.status; Admin.</w:t>
            </w:r>
          </w:p>
        </w:tc>
        <w:tc>
          <w:tcPr>
            <w:tcW w:type="dxa" w:w="3557"/>
            <w:vAlign w:val="top"/>
          </w:tcPr>
          <w:p>
            <w:pPr>
              <w:spacing w:after="100" w:before="60" w:line="247" w:lineRule="auto"/>
            </w:pPr>
            <w:r>
              <w:t>Backend: actor authorization, active teacher and class ownership.</w:t>
            </w:r>
          </w:p>
        </w:tc>
      </w:tr>
      <w:tr>
        <w:trPr>
          <w:cantSplit/>
        </w:trPr>
        <w:tc>
          <w:tcPr>
            <w:tcW w:type="dxa" w:w="720"/>
            <w:vAlign w:val="top"/>
            <w:shd w:fill="F0F7F1"/>
          </w:tcPr>
          <w:p>
            <w:pPr>
              <w:spacing w:after="100" w:before="60" w:line="247" w:lineRule="auto"/>
            </w:pPr>
            <w:r>
              <w:t>14</w:t>
            </w:r>
          </w:p>
        </w:tc>
        <w:tc>
          <w:tcPr>
            <w:tcW w:type="dxa" w:w="3600"/>
            <w:vAlign w:val="top"/>
            <w:shd w:fill="F0F7F1"/>
          </w:tcPr>
          <w:p>
            <w:pPr>
              <w:spacing w:after="100" w:before="60" w:line="247" w:lineRule="auto"/>
            </w:pPr>
            <w:r>
              <w:t>Important actions must be audited with one actor and a timestamp. Score changes must record available old and new values.</w:t>
            </w:r>
          </w:p>
        </w:tc>
        <w:tc>
          <w:tcPr>
            <w:tcW w:type="dxa" w:w="2448"/>
            <w:vAlign w:val="top"/>
            <w:shd w:fill="F0F7F1"/>
          </w:tcPr>
          <w:p>
            <w:pPr>
              <w:spacing w:after="100" w:before="60" w:line="247" w:lineRule="auto"/>
            </w:pPr>
            <w:r>
              <w:t>AuditLog references one account actor.</w:t>
            </w:r>
          </w:p>
        </w:tc>
        <w:tc>
          <w:tcPr>
            <w:tcW w:type="dxa" w:w="3557"/>
            <w:vAlign w:val="top"/>
            <w:shd w:fill="F0F7F1"/>
          </w:tcPr>
          <w:p>
            <w:pPr>
              <w:spacing w:after="100" w:before="60" w:line="247" w:lineRule="auto"/>
            </w:pPr>
            <w:r>
              <w:t>Actor foreign keys; CHECK exactly one actor; default timestamp; optional old/new values.</w:t>
            </w:r>
          </w:p>
        </w:tc>
      </w:tr>
      <w:tr>
        <w:trPr>
          <w:cantSplit/>
        </w:trPr>
        <w:tc>
          <w:tcPr>
            <w:tcW w:type="dxa" w:w="720"/>
            <w:vAlign w:val="top"/>
          </w:tcPr>
          <w:p>
            <w:pPr>
              <w:spacing w:after="100" w:before="60" w:line="247" w:lineRule="auto"/>
            </w:pPr>
            <w:r>
              <w:t>15</w:t>
            </w:r>
          </w:p>
        </w:tc>
        <w:tc>
          <w:tcPr>
            <w:tcW w:type="dxa" w:w="3600"/>
            <w:vAlign w:val="top"/>
          </w:tcPr>
          <w:p>
            <w:pPr>
              <w:spacing w:after="100" w:before="60" w:line="247" w:lineRule="auto"/>
            </w:pPr>
            <w:r>
              <w:t>Audit history must remain when its target record is deleted.</w:t>
            </w:r>
          </w:p>
        </w:tc>
        <w:tc>
          <w:tcPr>
            <w:tcW w:type="dxa" w:w="2448"/>
            <w:vAlign w:val="top"/>
          </w:tcPr>
          <w:p>
            <w:pPr>
              <w:spacing w:after="100" w:before="60" w:line="247" w:lineRule="auto"/>
            </w:pPr>
            <w:r>
              <w:t>AuditLog.entity_type and entity_id.</w:t>
            </w:r>
          </w:p>
        </w:tc>
        <w:tc>
          <w:tcPr>
            <w:tcW w:type="dxa" w:w="3557"/>
            <w:vAlign w:val="top"/>
          </w:tcPr>
          <w:p>
            <w:pPr>
              <w:spacing w:after="100" w:before="60" w:line="247" w:lineRule="auto"/>
            </w:pPr>
            <w:r>
              <w:t>Entity fields are not foreign keys; INDEX(entity_type, entity_id).</w:t>
            </w:r>
          </w:p>
        </w:tc>
      </w:tr>
      <w:tr>
        <w:trPr>
          <w:cantSplit/>
        </w:trPr>
        <w:tc>
          <w:tcPr>
            <w:tcW w:type="dxa" w:w="720"/>
            <w:vAlign w:val="top"/>
            <w:shd w:fill="F0F7F1"/>
          </w:tcPr>
          <w:p>
            <w:pPr>
              <w:spacing w:after="100" w:before="60" w:line="247" w:lineRule="auto"/>
            </w:pPr>
            <w:r>
              <w:t>16</w:t>
            </w:r>
          </w:p>
        </w:tc>
        <w:tc>
          <w:tcPr>
            <w:tcW w:type="dxa" w:w="3600"/>
            <w:vAlign w:val="top"/>
            <w:shd w:fill="F0F7F1"/>
          </w:tcPr>
          <w:p>
            <w:pPr>
              <w:spacing w:after="100" w:before="60" w:line="247" w:lineRule="auto"/>
            </w:pPr>
            <w:r>
              <w:t>Protected references must block deletion. Permitted deletions must follow defined cascade or null-setting rules.</w:t>
            </w:r>
          </w:p>
        </w:tc>
        <w:tc>
          <w:tcPr>
            <w:tcW w:type="dxa" w:w="2448"/>
            <w:vAlign w:val="top"/>
            <w:shd w:fill="F0F7F1"/>
          </w:tcPr>
          <w:p>
            <w:pPr>
              <w:spacing w:after="100" w:before="60" w:line="247" w:lineRule="auto"/>
            </w:pPr>
            <w:r>
              <w:t>Class, Enrollment, StudentGrade, RevisionRequest and audit actors.</w:t>
            </w:r>
          </w:p>
        </w:tc>
        <w:tc>
          <w:tcPr>
            <w:tcW w:type="dxa" w:w="3557"/>
            <w:vAlign w:val="top"/>
            <w:shd w:fill="F0F7F1"/>
          </w:tcPr>
          <w:p>
            <w:pPr>
              <w:spacing w:after="100" w:before="60" w:line="247" w:lineRule="auto"/>
            </w:pPr>
            <w:r>
              <w:t>RESTRICT protected links; CASCADE enrollment/assessment → grades → requests; SET NULL reviewed_by.</w:t>
            </w:r>
          </w:p>
        </w:tc>
      </w:tr>
      <w:tr>
        <w:trPr>
          <w:cantSplit/>
        </w:trPr>
        <w:tc>
          <w:tcPr>
            <w:tcW w:type="dxa" w:w="720"/>
            <w:vAlign w:val="top"/>
          </w:tcPr>
          <w:p>
            <w:pPr>
              <w:spacing w:after="100" w:before="60" w:line="247" w:lineRule="auto"/>
            </w:pPr>
            <w:r>
              <w:t>17</w:t>
            </w:r>
          </w:p>
        </w:tc>
        <w:tc>
          <w:tcPr>
            <w:tcW w:type="dxa" w:w="3600"/>
            <w:vAlign w:val="top"/>
          </w:tcPr>
          <w:p>
            <w:pPr>
              <w:spacing w:after="100" w:before="60" w:line="247" w:lineRule="auto"/>
            </w:pPr>
            <w:r>
              <w:t>Users must access only role-authorized records and actions. Protected operations must validate applicable role, ownership and account status.</w:t>
            </w:r>
          </w:p>
        </w:tc>
        <w:tc>
          <w:tcPr>
            <w:tcW w:type="dxa" w:w="2448"/>
            <w:vAlign w:val="top"/>
          </w:tcPr>
          <w:p>
            <w:pPr>
              <w:spacing w:after="100" w:before="60" w:line="247" w:lineRule="auto"/>
            </w:pPr>
            <w:r>
              <w:t>Role-based screens and service operations.</w:t>
            </w:r>
          </w:p>
        </w:tc>
        <w:tc>
          <w:tcPr>
            <w:tcW w:type="dxa" w:w="3557"/>
            <w:vAlign w:val="top"/>
          </w:tcPr>
          <w:p>
            <w:pPr>
              <w:spacing w:after="100" w:before="60" w:line="247" w:lineRule="auto"/>
            </w:pPr>
            <w:r>
              <w:t>Backend: applicable access and account-status checks.</w:t>
            </w:r>
          </w:p>
        </w:tc>
      </w:tr>
    </w:tbl>
    <w:sectPr w:rsidR="00FC693F" w:rsidRPr="0006063C" w:rsidSect="00034616">
      <w:headerReference w:type="default" r:id="rId9"/>
      <w:footerReference w:type="default" r:id="rId10"/>
      <w:pgSz w:w="11909" w:h="16834"/>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Narrative Business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THE DAUNTLESS GRADING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