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0"/>
        </w:rPr>
        <w:t>Sprint Planning — Sprint 3</w:t>
      </w:r>
    </w:p>
    <w:tbl>
      <w:tblPr>
        <w:tblStyle w:val="TableGrid"/>
        <w:tblW w:type="auto" w:w="0"/>
        <w:tblLook w:firstColumn="1" w:firstRow="1" w:lastColumn="0" w:lastRow="0" w:noHBand="0" w:noVBand="1" w:val="04A0"/>
      </w:tblPr>
      <w:tblGrid>
        <w:gridCol w:w="4873"/>
        <w:gridCol w:w="4873"/>
      </w:tblGrid>
      <w:tr>
        <w:tc>
          <w:tcPr>
            <w:tcW w:type="dxa" w:w="2268"/>
            <w:shd w:val="clear" w:color="auto" w:fill="E8EEF6"/>
          </w:tcPr>
          <w:p>
            <w:r>
              <w:rPr>
                <w:b/>
              </w:rPr>
              <w:t>Proyecto</w:t>
            </w:r>
          </w:p>
        </w:tc>
        <w:tc>
          <w:tcPr>
            <w:tcW w:type="dxa" w:w="7087"/>
          </w:tcPr>
          <w:p>
            <w:r>
              <w:t>EvangelicApp — Plataforma de gestión para iglesias evangélicas de Chile</w:t>
            </w:r>
          </w:p>
        </w:tc>
      </w:tr>
      <w:tr>
        <w:tc>
          <w:tcPr>
            <w:tcW w:type="dxa" w:w="2268"/>
            <w:shd w:val="clear" w:color="auto" w:fill="E8EEF6"/>
          </w:tcPr>
          <w:p>
            <w:r>
              <w:rPr>
                <w:b/>
              </w:rPr>
              <w:t>Documento</w:t>
            </w:r>
          </w:p>
        </w:tc>
        <w:tc>
          <w:tcPr>
            <w:tcW w:type="dxa" w:w="7087"/>
          </w:tcPr>
          <w:p>
            <w:r>
              <w:t>S3-01 — Sprint Planning — Sprint 3</w:t>
            </w:r>
          </w:p>
        </w:tc>
      </w:tr>
      <w:tr>
        <w:tc>
          <w:tcPr>
            <w:tcW w:type="dxa" w:w="2268"/>
            <w:shd w:val="clear" w:color="auto" w:fill="E8EEF6"/>
          </w:tcPr>
          <w:p>
            <w:r>
              <w:rPr>
                <w:b/>
              </w:rPr>
              <w:t>Marco de trabajo</w:t>
            </w:r>
          </w:p>
        </w:tc>
        <w:tc>
          <w:tcPr>
            <w:tcW w:type="dxa" w:w="7087"/>
          </w:tcPr>
          <w:p>
            <w:r>
              <w:t>Scrum</w:t>
            </w:r>
          </w:p>
        </w:tc>
      </w:tr>
      <w:tr>
        <w:tc>
          <w:tcPr>
            <w:tcW w:type="dxa" w:w="2268"/>
            <w:shd w:val="clear" w:color="auto" w:fill="E8EEF6"/>
          </w:tcPr>
          <w:p>
            <w:r>
              <w:rPr>
                <w:b/>
              </w:rPr>
              <w:t>Sprint / Fase</w:t>
            </w:r>
          </w:p>
        </w:tc>
        <w:tc>
          <w:tcPr>
            <w:tcW w:type="dxa" w:w="7087"/>
          </w:tcPr>
          <w:p>
            <w:r>
              <w:t xml:space="preserve">Sprint 3 · S9–S10</w:t>
            </w:r>
          </w:p>
        </w:tc>
      </w:tr>
      <w:tr>
        <w:tc>
          <w:tcPr>
            <w:tcW w:type="dxa" w:w="2268"/>
            <w:shd w:val="clear" w:color="auto" w:fill="E8EEF6"/>
          </w:tcPr>
          <w:p>
            <w:r>
              <w:rPr>
                <w:b/>
              </w:rPr>
              <w:t>Fecha</w:t>
            </w:r>
          </w:p>
        </w:tc>
        <w:tc>
          <w:tcPr>
            <w:tcW w:type="dxa" w:w="7087"/>
          </w:tcPr>
          <w:p>
            <w:r>
              <w:t xml:space="preserve">05-10-2026</w:t>
            </w:r>
          </w:p>
        </w:tc>
      </w:tr>
      <w:tr>
        <w:tc>
          <w:tcPr>
            <w:tcW w:type="dxa" w:w="2268"/>
            <w:shd w:val="clear" w:color="auto" w:fill="E8EEF6"/>
          </w:tcPr>
          <w:p>
            <w:r>
              <w:rPr>
                <w:b/>
              </w:rPr>
              <w:t>Versión</w:t>
            </w:r>
          </w:p>
        </w:tc>
        <w:tc>
          <w:tcPr>
            <w:tcW w:type="dxa" w:w="7087"/>
          </w:tcPr>
          <w:p>
            <w:r>
              <w:t>1.0</w:t>
            </w:r>
          </w:p>
        </w:tc>
      </w:tr>
      <w:tr>
        <w:tc>
          <w:tcPr>
            <w:tcW w:type="dxa" w:w="2268"/>
            <w:shd w:val="clear" w:color="auto" w:fill="E8EEF6"/>
          </w:tcPr>
          <w:p>
            <w:r>
              <w:rPr>
                <w:b/>
              </w:rPr>
              <w:t>Autor</w:t>
            </w:r>
          </w:p>
        </w:tc>
        <w:tc>
          <w:tcPr>
            <w:tcW w:type="dxa" w:w="7087"/>
          </w:tcPr>
          <w:p>
            <w:r>
              <w:t>Matías Cofré (Developer)</w:t>
            </w:r>
          </w:p>
        </w:tc>
      </w:tr>
    </w:tbl>
    <w:p/>
    <w:tbl>
      <w:tblPr>
        <w:tblStyle w:val="TableGrid"/>
        <w:tblW w:type="auto" w:w="0"/>
        <w:jc w:val="center"/>
        <w:tblLook w:firstColumn="1" w:firstRow="1" w:lastColumn="0" w:lastRow="0" w:noHBand="0" w:noVBand="1" w:val="04A0"/>
      </w:tblPr>
      <w:tblGrid>
        <w:gridCol w:w="4873"/>
        <w:gridCol w:w="4873"/>
      </w:tblGrid>
      <w:tr>
        <w:tc>
          <w:tcPr>
            <w:tcW w:type="dxa" w:w="2268"/>
            <w:shd w:val="clear" w:color="auto" w:fill="1F3A5F"/>
          </w:tcPr>
          <w:p>
            <w:r/>
            <w:r>
              <w:rPr>
                <w:b/>
                <w:color w:val="FFFFFF"/>
                <w:sz w:val="19"/>
              </w:rPr>
              <w:t>Dato</w:t>
            </w:r>
          </w:p>
        </w:tc>
        <w:tc>
          <w:tcPr>
            <w:tcW w:type="dxa" w:w="7087"/>
            <w:shd w:val="clear" w:color="auto" w:fill="1F3A5F"/>
          </w:tcPr>
          <w:p>
            <w:r/>
            <w:r>
              <w:rPr>
                <w:b/>
                <w:color w:val="FFFFFF"/>
                <w:sz w:val="19"/>
              </w:rPr>
              <w:t>Valor</w:t>
            </w:r>
          </w:p>
        </w:tc>
      </w:tr>
      <w:tr>
        <w:tc>
          <w:tcPr>
            <w:tcW w:type="dxa" w:w="2268"/>
          </w:tcPr>
          <w:p>
            <w:r/>
            <w:r>
              <w:rPr>
                <w:sz w:val="19"/>
              </w:rPr>
              <w:t xml:space="preserve">Sprint</w:t>
            </w:r>
          </w:p>
        </w:tc>
        <w:tc>
          <w:tcPr>
            <w:tcW w:type="dxa" w:w="7087"/>
          </w:tcPr>
          <w:p>
            <w:r/>
            <w:r>
              <w:rPr>
                <w:sz w:val="19"/>
              </w:rPr>
              <w:t xml:space="preserve">Sprint 3 — Aislamiento multi-tenant con RLS y ambiente de staging</w:t>
            </w:r>
          </w:p>
        </w:tc>
      </w:tr>
      <w:tr>
        <w:tc>
          <w:tcPr>
            <w:tcW w:type="dxa" w:w="2268"/>
          </w:tcPr>
          <w:p>
            <w:r/>
            <w:r>
              <w:rPr>
                <w:sz w:val="19"/>
              </w:rPr>
              <w:t xml:space="preserve">Duración</w:t>
            </w:r>
          </w:p>
        </w:tc>
        <w:tc>
          <w:tcPr>
            <w:tcW w:type="dxa" w:w="7087"/>
          </w:tcPr>
          <w:p>
            <w:r/>
            <w:r>
              <w:rPr>
                <w:sz w:val="19"/>
              </w:rPr>
              <w:t xml:space="preserve">05-10-2026 al 16-10-2026 (2 semanas, S9–S10)</w:t>
            </w:r>
          </w:p>
        </w:tc>
      </w:tr>
      <w:tr>
        <w:tc>
          <w:tcPr>
            <w:tcW w:type="dxa" w:w="2268"/>
          </w:tcPr>
          <w:p>
            <w:r/>
            <w:r>
              <w:rPr>
                <w:sz w:val="19"/>
              </w:rPr>
              <w:t xml:space="preserve">Capacidad</w:t>
            </w:r>
          </w:p>
        </w:tc>
        <w:tc>
          <w:tcPr>
            <w:tcW w:type="dxa" w:w="7087"/>
          </w:tcPr>
          <w:p>
            <w:r/>
            <w:r>
              <w:rPr>
                <w:sz w:val="19"/>
              </w:rPr>
              <w:t xml:space="preserve">~60 h (un Developer, ~30 h por semana), con 5 h de colchón</w:t>
            </w:r>
          </w:p>
        </w:tc>
      </w:tr>
      <w:tr>
        <w:tc>
          <w:tcPr>
            <w:tcW w:type="dxa" w:w="2268"/>
          </w:tcPr>
          <w:p>
            <w:r/>
            <w:r>
              <w:rPr>
                <w:sz w:val="19"/>
              </w:rPr>
              <w:t xml:space="preserve">Ceremonia</w:t>
            </w:r>
          </w:p>
        </w:tc>
        <w:tc>
          <w:tcPr>
            <w:tcW w:type="dxa" w:w="7087"/>
          </w:tcPr>
          <w:p>
            <w:r/>
            <w:r>
              <w:rPr>
                <w:sz w:val="19"/>
              </w:rPr>
              <w:t xml:space="preserve">Sprint Planning realizada el 05-10-2026, duración 1,5 h</w:t>
            </w:r>
          </w:p>
        </w:tc>
      </w:tr>
    </w:tbl>
    <w:p/>
    <w:p>
      <w:pPr>
        <w:pStyle w:val="Heading2"/>
      </w:pPr>
      <w:r>
        <w:t>1. Objetivo del Sprint (Sprint Goal)</w:t>
      </w:r>
    </w:p>
    <w:p>
      <w:r>
        <w:rPr>
          <w:b w:val="0"/>
          <w:i/>
        </w:rPr>
        <w:t xml:space="preserve">Activar el aislamiento multi-tenant también en la base de datos (RLS, con un rol de conexión sin BYPASSRLS), exigir el consentimiento de la Ley 21.719 en el registro por QR y montar un ambiente de staging aislado para probar cada cambio antes de producción.</w:t>
      </w:r>
    </w:p>
    <w:p>
      <w:r>
        <w:rPr>
          <w:b w:val="0"/>
          <w:i w:val="0"/>
        </w:rPr>
        <w:t xml:space="preserve">Contexto: hoy el aislamiento entre iglesias depende de que cada consulta de la aplicación filtre por iglesiaId. Con Supabase Auth ya cortado (Sprint 2), la base puede conocer el contexto del usuario y aplicar Row Level Security como segunda capa: si una consulta olvida el filtro, la base igual no entrega datos de otra iglesia.</w:t>
      </w:r>
    </w:p>
    <w:p>
      <w:r>
        <w:rPr>
          <w:b w:val="0"/>
          <w:i w:val="0"/>
        </w:rPr>
        <w:t xml:space="preserve">Acciones de la retro aplicadas: (1) ninguna historia del sprint depende de aprobaciones externas; (2) staging tiene su propio proyecto de Supabase, sin compartir Auth con otra base (HU-27); (3) cada tarea que cambia el sistema incluye actualizar README o docs; (4) RLS se aplica primero en la base de desarrollo antes que en cualquier ambiente desplegado.</w:t>
      </w:r>
    </w:p>
    <w:p>
      <w:r>
        <w:rPr>
          <w:b w:val="0"/>
          <w:i w:val="0"/>
        </w:rPr>
        <w:t xml:space="preserve">El mismo día de la Planning llegaron las observaciones de la docente guía sobre la Fase 1; se incorporan como T3.12.</w:t>
      </w:r>
    </w:p>
    <w:p>
      <w:pPr>
        <w:pStyle w:val="Heading2"/>
      </w:pPr>
      <w:r>
        <w:t>2. Historias comprometidas (¿qué?)</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907"/>
            <w:shd w:val="clear" w:color="auto" w:fill="1F3A5F"/>
          </w:tcPr>
          <w:p>
            <w:r/>
            <w:r>
              <w:rPr>
                <w:b/>
                <w:color w:val="FFFFFF"/>
                <w:sz w:val="19"/>
              </w:rPr>
              <w:t>ID</w:t>
            </w:r>
          </w:p>
        </w:tc>
        <w:tc>
          <w:tcPr>
            <w:tcW w:type="dxa" w:w="6406"/>
            <w:shd w:val="clear" w:color="auto" w:fill="1F3A5F"/>
          </w:tcPr>
          <w:p>
            <w:r/>
            <w:r>
              <w:rPr>
                <w:b/>
                <w:color w:val="FFFFFF"/>
                <w:sz w:val="19"/>
              </w:rPr>
              <w:t>Historia</w:t>
            </w:r>
          </w:p>
        </w:tc>
        <w:tc>
          <w:tcPr>
            <w:tcW w:type="dxa" w:w="737"/>
            <w:shd w:val="clear" w:color="auto" w:fill="1F3A5F"/>
          </w:tcPr>
          <w:p>
            <w:r/>
            <w:r>
              <w:rPr>
                <w:b/>
                <w:color w:val="FFFFFF"/>
                <w:sz w:val="19"/>
              </w:rPr>
              <w:t>Pts</w:t>
            </w:r>
          </w:p>
        </w:tc>
        <w:tc>
          <w:tcPr>
            <w:tcW w:type="dxa" w:w="1304"/>
            <w:shd w:val="clear" w:color="auto" w:fill="1F3A5F"/>
          </w:tcPr>
          <w:p>
            <w:r/>
            <w:r>
              <w:rPr>
                <w:b/>
                <w:color w:val="FFFFFF"/>
                <w:sz w:val="19"/>
              </w:rPr>
              <w:t>MoSCoW</w:t>
            </w:r>
          </w:p>
        </w:tc>
      </w:tr>
      <w:tr>
        <w:tc>
          <w:tcPr>
            <w:tcW w:type="dxa" w:w="907"/>
          </w:tcPr>
          <w:p>
            <w:r/>
            <w:r>
              <w:rPr>
                <w:sz w:val="19"/>
              </w:rPr>
              <w:t xml:space="preserve">HU-18</w:t>
            </w:r>
          </w:p>
        </w:tc>
        <w:tc>
          <w:tcPr>
            <w:tcW w:type="dxa" w:w="6406"/>
          </w:tcPr>
          <w:p>
            <w:r/>
            <w:r>
              <w:rPr>
                <w:sz w:val="19"/>
              </w:rPr>
              <w:t xml:space="preserve">iglesia quiero que mis datos estén aislados de otras iglesias también a nivel de base de datos (RLS)</w:t>
            </w:r>
          </w:p>
        </w:tc>
        <w:tc>
          <w:tcPr>
            <w:tcW w:type="dxa" w:w="737"/>
          </w:tcPr>
          <w:p>
            <w:r/>
            <w:r>
              <w:rPr>
                <w:sz w:val="19"/>
              </w:rPr>
              <w:t xml:space="preserve">13</w:t>
            </w:r>
          </w:p>
        </w:tc>
        <w:tc>
          <w:tcPr>
            <w:tcW w:type="dxa" w:w="1304"/>
          </w:tcPr>
          <w:p>
            <w:r/>
            <w:r>
              <w:rPr>
                <w:sz w:val="19"/>
              </w:rPr>
              <w:t xml:space="preserve">Must</w:t>
            </w:r>
          </w:p>
        </w:tc>
      </w:tr>
      <w:tr>
        <w:tc>
          <w:tcPr>
            <w:tcW w:type="dxa" w:w="907"/>
          </w:tcPr>
          <w:p>
            <w:r/>
            <w:r>
              <w:rPr>
                <w:sz w:val="19"/>
              </w:rPr>
              <w:t xml:space="preserve">HU-12</w:t>
            </w:r>
          </w:p>
        </w:tc>
        <w:tc>
          <w:tcPr>
            <w:tcW w:type="dxa" w:w="6406"/>
          </w:tcPr>
          <w:p>
            <w:r/>
            <w:r>
              <w:rPr>
                <w:sz w:val="19"/>
              </w:rPr>
              <w:t xml:space="preserve">Secretaria quiero que el registro de integrantes por QR exija aceptar el tratamiento de datos</w:t>
            </w:r>
          </w:p>
        </w:tc>
        <w:tc>
          <w:tcPr>
            <w:tcW w:type="dxa" w:w="737"/>
          </w:tcPr>
          <w:p>
            <w:r/>
            <w:r>
              <w:rPr>
                <w:sz w:val="19"/>
              </w:rPr>
              <w:t xml:space="preserve">5</w:t>
            </w:r>
          </w:p>
        </w:tc>
        <w:tc>
          <w:tcPr>
            <w:tcW w:type="dxa" w:w="1304"/>
          </w:tcPr>
          <w:p>
            <w:r/>
            <w:r>
              <w:rPr>
                <w:sz w:val="19"/>
              </w:rPr>
              <w:t xml:space="preserve">Must</w:t>
            </w:r>
          </w:p>
        </w:tc>
      </w:tr>
      <w:tr>
        <w:tc>
          <w:tcPr>
            <w:tcW w:type="dxa" w:w="907"/>
          </w:tcPr>
          <w:p>
            <w:r/>
            <w:r>
              <w:rPr>
                <w:sz w:val="19"/>
              </w:rPr>
              <w:t xml:space="preserve">HU-27</w:t>
            </w:r>
          </w:p>
        </w:tc>
        <w:tc>
          <w:tcPr>
            <w:tcW w:type="dxa" w:w="6406"/>
          </w:tcPr>
          <w:p>
            <w:r/>
            <w:r>
              <w:rPr>
                <w:sz w:val="19"/>
              </w:rPr>
              <w:t xml:space="preserve">equipo quiero un ambiente de staging aislado de producción (Supabase, Render y Cloudflare)</w:t>
            </w:r>
          </w:p>
        </w:tc>
        <w:tc>
          <w:tcPr>
            <w:tcW w:type="dxa" w:w="737"/>
          </w:tcPr>
          <w:p>
            <w:r/>
            <w:r>
              <w:rPr>
                <w:sz w:val="19"/>
              </w:rPr>
              <w:t xml:space="preserve">8</w:t>
            </w:r>
          </w:p>
        </w:tc>
        <w:tc>
          <w:tcPr>
            <w:tcW w:type="dxa" w:w="1304"/>
          </w:tcPr>
          <w:p>
            <w:r/>
            <w:r>
              <w:rPr>
                <w:sz w:val="19"/>
              </w:rPr>
              <w:t xml:space="preserve">Must</w:t>
            </w:r>
          </w:p>
        </w:tc>
      </w:tr>
      <w:tr>
        <w:tc>
          <w:tcPr>
            <w:tcW w:type="dxa" w:w="907"/>
          </w:tcPr>
          <w:p>
            <w:r/>
            <w:r>
              <w:rPr>
                <w:sz w:val="19"/>
              </w:rPr>
              <w:t xml:space="preserve"/>
            </w:r>
          </w:p>
        </w:tc>
        <w:tc>
          <w:tcPr>
            <w:tcW w:type="dxa" w:w="6406"/>
          </w:tcPr>
          <w:p>
            <w:r/>
            <w:r>
              <w:rPr>
                <w:sz w:val="19"/>
              </w:rPr>
              <w:t xml:space="preserve">Total comprometido</w:t>
            </w:r>
          </w:p>
        </w:tc>
        <w:tc>
          <w:tcPr>
            <w:tcW w:type="dxa" w:w="737"/>
          </w:tcPr>
          <w:p>
            <w:r/>
            <w:r>
              <w:rPr>
                <w:sz w:val="19"/>
              </w:rPr>
              <w:t xml:space="preserve">26</w:t>
            </w:r>
          </w:p>
        </w:tc>
        <w:tc>
          <w:tcPr>
            <w:tcW w:type="dxa" w:w="1304"/>
          </w:tcPr>
          <w:p>
            <w:r/>
            <w:r>
              <w:rPr>
                <w:sz w:val="19"/>
              </w:rPr>
              <w:t xml:space="preserve"/>
            </w:r>
          </w:p>
        </w:tc>
      </w:tr>
    </w:tbl>
    <w:p/>
    <w:p>
      <w:pPr>
        <w:pStyle w:val="Heading2"/>
      </w:pPr>
      <w:r>
        <w:t>3. Plan de trabajo (¿cómo?)</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850"/>
            <w:shd w:val="clear" w:color="auto" w:fill="1F3A5F"/>
          </w:tcPr>
          <w:p>
            <w:r/>
            <w:r>
              <w:rPr>
                <w:b/>
                <w:color w:val="FFFFFF"/>
                <w:sz w:val="17"/>
              </w:rPr>
              <w:t>Tarea</w:t>
            </w:r>
          </w:p>
        </w:tc>
        <w:tc>
          <w:tcPr>
            <w:tcW w:type="dxa" w:w="907"/>
            <w:shd w:val="clear" w:color="auto" w:fill="1F3A5F"/>
          </w:tcPr>
          <w:p>
            <w:r/>
            <w:r>
              <w:rPr>
                <w:b/>
                <w:color w:val="FFFFFF"/>
                <w:sz w:val="17"/>
              </w:rPr>
              <w:t>HU</w:t>
            </w:r>
          </w:p>
        </w:tc>
        <w:tc>
          <w:tcPr>
            <w:tcW w:type="dxa" w:w="6350"/>
            <w:shd w:val="clear" w:color="auto" w:fill="1F3A5F"/>
          </w:tcPr>
          <w:p>
            <w:r/>
            <w:r>
              <w:rPr>
                <w:b/>
                <w:color w:val="FFFFFF"/>
                <w:sz w:val="17"/>
              </w:rPr>
              <w:t>Descripción</w:t>
            </w:r>
          </w:p>
        </w:tc>
        <w:tc>
          <w:tcPr>
            <w:tcW w:type="dxa" w:w="1247"/>
            <w:shd w:val="clear" w:color="auto" w:fill="1F3A5F"/>
          </w:tcPr>
          <w:p>
            <w:r/>
            <w:r>
              <w:rPr>
                <w:b/>
                <w:color w:val="FFFFFF"/>
                <w:sz w:val="17"/>
              </w:rPr>
              <w:t>Horas est.</w:t>
            </w:r>
          </w:p>
        </w:tc>
      </w:tr>
      <w:tr>
        <w:tc>
          <w:tcPr>
            <w:tcW w:type="dxa" w:w="850"/>
          </w:tcPr>
          <w:p>
            <w:r/>
            <w:r>
              <w:rPr>
                <w:sz w:val="17"/>
              </w:rPr>
              <w:t xml:space="preserve">T3.1</w:t>
            </w:r>
          </w:p>
        </w:tc>
        <w:tc>
          <w:tcPr>
            <w:tcW w:type="dxa" w:w="907"/>
          </w:tcPr>
          <w:p>
            <w:r/>
            <w:r>
              <w:rPr>
                <w:sz w:val="17"/>
              </w:rPr>
              <w:t xml:space="preserve">HU-18</w:t>
            </w:r>
          </w:p>
        </w:tc>
        <w:tc>
          <w:tcPr>
            <w:tcW w:type="dxa" w:w="6350"/>
          </w:tcPr>
          <w:p>
            <w:r/>
            <w:r>
              <w:rPr>
                <w:sz w:val="17"/>
              </w:rPr>
              <w:t xml:space="preserve">Diseño de RLS con Prisma (una sola conexión compartida) y rol app_runtime sin BYPASSRLS</w:t>
            </w:r>
          </w:p>
        </w:tc>
        <w:tc>
          <w:tcPr>
            <w:tcW w:type="dxa" w:w="1247"/>
          </w:tcPr>
          <w:p>
            <w:r/>
            <w:r>
              <w:rPr>
                <w:sz w:val="17"/>
              </w:rPr>
              <w:t xml:space="preserve">3</w:t>
            </w:r>
          </w:p>
        </w:tc>
      </w:tr>
      <w:tr>
        <w:tc>
          <w:tcPr>
            <w:tcW w:type="dxa" w:w="850"/>
          </w:tcPr>
          <w:p>
            <w:r/>
            <w:r>
              <w:rPr>
                <w:sz w:val="17"/>
              </w:rPr>
              <w:t xml:space="preserve">T3.2</w:t>
            </w:r>
          </w:p>
        </w:tc>
        <w:tc>
          <w:tcPr>
            <w:tcW w:type="dxa" w:w="907"/>
          </w:tcPr>
          <w:p>
            <w:r/>
            <w:r>
              <w:rPr>
                <w:sz w:val="17"/>
              </w:rPr>
              <w:t xml:space="preserve">HU-18</w:t>
            </w:r>
          </w:p>
        </w:tc>
        <w:tc>
          <w:tcPr>
            <w:tcW w:type="dxa" w:w="6350"/>
          </w:tcPr>
          <w:p>
            <w:r/>
            <w:r>
              <w:rPr>
                <w:sz w:val="17"/>
              </w:rPr>
              <w:t xml:space="preserve">Contexto de tenant por request (AsyncLocalStorage + middleware) y bypass acotado (runAsService)</w:t>
            </w:r>
          </w:p>
        </w:tc>
        <w:tc>
          <w:tcPr>
            <w:tcW w:type="dxa" w:w="1247"/>
          </w:tcPr>
          <w:p>
            <w:r/>
            <w:r>
              <w:rPr>
                <w:sz w:val="17"/>
              </w:rPr>
              <w:t xml:space="preserve">5</w:t>
            </w:r>
          </w:p>
        </w:tc>
      </w:tr>
      <w:tr>
        <w:tc>
          <w:tcPr>
            <w:tcW w:type="dxa" w:w="850"/>
          </w:tcPr>
          <w:p>
            <w:r/>
            <w:r>
              <w:rPr>
                <w:sz w:val="17"/>
              </w:rPr>
              <w:t xml:space="preserve">T3.3</w:t>
            </w:r>
          </w:p>
        </w:tc>
        <w:tc>
          <w:tcPr>
            <w:tcW w:type="dxa" w:w="907"/>
          </w:tcPr>
          <w:p>
            <w:r/>
            <w:r>
              <w:rPr>
                <w:sz w:val="17"/>
              </w:rPr>
              <w:t xml:space="preserve">HU-18</w:t>
            </w:r>
          </w:p>
        </w:tc>
        <w:tc>
          <w:tcPr>
            <w:tcW w:type="dxa" w:w="6350"/>
          </w:tcPr>
          <w:p>
            <w:r/>
            <w:r>
              <w:rPr>
                <w:sz w:val="17"/>
              </w:rPr>
              <w:t xml:space="preserve">Migración RLS: ENABLE + FORCE y policy tenant_isolation en 16 tablas, con funciones helper</w:t>
            </w:r>
          </w:p>
        </w:tc>
        <w:tc>
          <w:tcPr>
            <w:tcW w:type="dxa" w:w="1247"/>
          </w:tcPr>
          <w:p>
            <w:r/>
            <w:r>
              <w:rPr>
                <w:sz w:val="17"/>
              </w:rPr>
              <w:t xml:space="preserve">7</w:t>
            </w:r>
          </w:p>
        </w:tc>
      </w:tr>
      <w:tr>
        <w:tc>
          <w:tcPr>
            <w:tcW w:type="dxa" w:w="850"/>
          </w:tcPr>
          <w:p>
            <w:r/>
            <w:r>
              <w:rPr>
                <w:sz w:val="17"/>
              </w:rPr>
              <w:t xml:space="preserve">T3.4</w:t>
            </w:r>
          </w:p>
        </w:tc>
        <w:tc>
          <w:tcPr>
            <w:tcW w:type="dxa" w:w="907"/>
          </w:tcPr>
          <w:p>
            <w:r/>
            <w:r>
              <w:rPr>
                <w:sz w:val="17"/>
              </w:rPr>
              <w:t xml:space="preserve">HU-18</w:t>
            </w:r>
          </w:p>
        </w:tc>
        <w:tc>
          <w:tcPr>
            <w:tcW w:type="dxa" w:w="6350"/>
          </w:tcPr>
          <w:p>
            <w:r/>
            <w:r>
              <w:rPr>
                <w:sz w:val="17"/>
              </w:rPr>
              <w:t xml:space="preserve">Conectar el contexto de tenant a Prisma (set_config en cada consulta)</w:t>
            </w:r>
          </w:p>
        </w:tc>
        <w:tc>
          <w:tcPr>
            <w:tcW w:type="dxa" w:w="1247"/>
          </w:tcPr>
          <w:p>
            <w:r/>
            <w:r>
              <w:rPr>
                <w:sz w:val="17"/>
              </w:rPr>
              <w:t xml:space="preserve">5</w:t>
            </w:r>
          </w:p>
        </w:tc>
      </w:tr>
      <w:tr>
        <w:tc>
          <w:tcPr>
            <w:tcW w:type="dxa" w:w="850"/>
          </w:tcPr>
          <w:p>
            <w:r/>
            <w:r>
              <w:rPr>
                <w:sz w:val="17"/>
              </w:rPr>
              <w:t xml:space="preserve">T3.5</w:t>
            </w:r>
          </w:p>
        </w:tc>
        <w:tc>
          <w:tcPr>
            <w:tcW w:type="dxa" w:w="907"/>
          </w:tcPr>
          <w:p>
            <w:r/>
            <w:r>
              <w:rPr>
                <w:sz w:val="17"/>
              </w:rPr>
              <w:t xml:space="preserve">HU-18</w:t>
            </w:r>
          </w:p>
        </w:tc>
        <w:tc>
          <w:tcPr>
            <w:tcW w:type="dxa" w:w="6350"/>
          </w:tcPr>
          <w:p>
            <w:r/>
            <w:r>
              <w:rPr>
                <w:sz w:val="17"/>
              </w:rPr>
              <w:t xml:space="preserve">Verificación de RLS: SQL con SET ROLE app_runtime y smoke test HTTP</w:t>
            </w:r>
          </w:p>
        </w:tc>
        <w:tc>
          <w:tcPr>
            <w:tcW w:type="dxa" w:w="1247"/>
          </w:tcPr>
          <w:p>
            <w:r/>
            <w:r>
              <w:rPr>
                <w:sz w:val="17"/>
              </w:rPr>
              <w:t xml:space="preserve">4</w:t>
            </w:r>
          </w:p>
        </w:tc>
      </w:tr>
      <w:tr>
        <w:tc>
          <w:tcPr>
            <w:tcW w:type="dxa" w:w="850"/>
          </w:tcPr>
          <w:p>
            <w:r/>
            <w:r>
              <w:rPr>
                <w:sz w:val="17"/>
              </w:rPr>
              <w:t xml:space="preserve">T3.6</w:t>
            </w:r>
          </w:p>
        </w:tc>
        <w:tc>
          <w:tcPr>
            <w:tcW w:type="dxa" w:w="907"/>
          </w:tcPr>
          <w:p>
            <w:r/>
            <w:r>
              <w:rPr>
                <w:sz w:val="17"/>
              </w:rPr>
              <w:t xml:space="preserve">HU-12</w:t>
            </w:r>
          </w:p>
        </w:tc>
        <w:tc>
          <w:tcPr>
            <w:tcW w:type="dxa" w:w="6350"/>
          </w:tcPr>
          <w:p>
            <w:r/>
            <w:r>
              <w:rPr>
                <w:sz w:val="17"/>
              </w:rPr>
              <w:t xml:space="preserve">Eliminar el rol MIEMBRO del sistema (migración del enum Rol)</w:t>
            </w:r>
          </w:p>
        </w:tc>
        <w:tc>
          <w:tcPr>
            <w:tcW w:type="dxa" w:w="1247"/>
          </w:tcPr>
          <w:p>
            <w:r/>
            <w:r>
              <w:rPr>
                <w:sz w:val="17"/>
              </w:rPr>
              <w:t xml:space="preserve">2</w:t>
            </w:r>
          </w:p>
        </w:tc>
      </w:tr>
      <w:tr>
        <w:tc>
          <w:tcPr>
            <w:tcW w:type="dxa" w:w="850"/>
          </w:tcPr>
          <w:p>
            <w:r/>
            <w:r>
              <w:rPr>
                <w:sz w:val="17"/>
              </w:rPr>
              <w:t xml:space="preserve">T3.7</w:t>
            </w:r>
          </w:p>
        </w:tc>
        <w:tc>
          <w:tcPr>
            <w:tcW w:type="dxa" w:w="907"/>
          </w:tcPr>
          <w:p>
            <w:r/>
            <w:r>
              <w:rPr>
                <w:sz w:val="17"/>
              </w:rPr>
              <w:t xml:space="preserve">HU-12</w:t>
            </w:r>
          </w:p>
        </w:tc>
        <w:tc>
          <w:tcPr>
            <w:tcW w:type="dxa" w:w="6350"/>
          </w:tcPr>
          <w:p>
            <w:r/>
            <w:r>
              <w:rPr>
                <w:sz w:val="17"/>
              </w:rPr>
              <w:t xml:space="preserve">Consentimiento Ley 21.719 en el registro por QR: contrato y brief para el frontend</w:t>
            </w:r>
          </w:p>
        </w:tc>
        <w:tc>
          <w:tcPr>
            <w:tcW w:type="dxa" w:w="1247"/>
          </w:tcPr>
          <w:p>
            <w:r/>
            <w:r>
              <w:rPr>
                <w:sz w:val="17"/>
              </w:rPr>
              <w:t xml:space="preserve">3</w:t>
            </w:r>
          </w:p>
        </w:tc>
      </w:tr>
      <w:tr>
        <w:tc>
          <w:tcPr>
            <w:tcW w:type="dxa" w:w="850"/>
          </w:tcPr>
          <w:p>
            <w:r/>
            <w:r>
              <w:rPr>
                <w:sz w:val="17"/>
              </w:rPr>
              <w:t xml:space="preserve">T3.8</w:t>
            </w:r>
          </w:p>
        </w:tc>
        <w:tc>
          <w:tcPr>
            <w:tcW w:type="dxa" w:w="907"/>
          </w:tcPr>
          <w:p>
            <w:r/>
            <w:r>
              <w:rPr>
                <w:sz w:val="17"/>
              </w:rPr>
              <w:t xml:space="preserve">HU-27</w:t>
            </w:r>
          </w:p>
        </w:tc>
        <w:tc>
          <w:tcPr>
            <w:tcW w:type="dxa" w:w="6350"/>
          </w:tcPr>
          <w:p>
            <w:r/>
            <w:r>
              <w:rPr>
                <w:sz w:val="17"/>
              </w:rPr>
              <w:t xml:space="preserve">Proyecto Supabase de staging (Backend-staging) con el rol app_runtime</w:t>
            </w:r>
          </w:p>
        </w:tc>
        <w:tc>
          <w:tcPr>
            <w:tcW w:type="dxa" w:w="1247"/>
          </w:tcPr>
          <w:p>
            <w:r/>
            <w:r>
              <w:rPr>
                <w:sz w:val="17"/>
              </w:rPr>
              <w:t xml:space="preserve">3</w:t>
            </w:r>
          </w:p>
        </w:tc>
      </w:tr>
      <w:tr>
        <w:tc>
          <w:tcPr>
            <w:tcW w:type="dxa" w:w="850"/>
          </w:tcPr>
          <w:p>
            <w:r/>
            <w:r>
              <w:rPr>
                <w:sz w:val="17"/>
              </w:rPr>
              <w:t xml:space="preserve">T3.9</w:t>
            </w:r>
          </w:p>
        </w:tc>
        <w:tc>
          <w:tcPr>
            <w:tcW w:type="dxa" w:w="907"/>
          </w:tcPr>
          <w:p>
            <w:r/>
            <w:r>
              <w:rPr>
                <w:sz w:val="17"/>
              </w:rPr>
              <w:t xml:space="preserve">HU-27</w:t>
            </w:r>
          </w:p>
        </w:tc>
        <w:tc>
          <w:tcPr>
            <w:tcW w:type="dxa" w:w="6350"/>
          </w:tcPr>
          <w:p>
            <w:r/>
            <w:r>
              <w:rPr>
                <w:sz w:val="17"/>
              </w:rPr>
              <w:t xml:space="preserve">Backend de staging en Render: rama staging, migraciones en pre-deploy y DATABASE_URL como app_runtime</w:t>
            </w:r>
          </w:p>
        </w:tc>
        <w:tc>
          <w:tcPr>
            <w:tcW w:type="dxa" w:w="1247"/>
          </w:tcPr>
          <w:p>
            <w:r/>
            <w:r>
              <w:rPr>
                <w:sz w:val="17"/>
              </w:rPr>
              <w:t xml:space="preserve">7</w:t>
            </w:r>
          </w:p>
        </w:tc>
      </w:tr>
      <w:tr>
        <w:tc>
          <w:tcPr>
            <w:tcW w:type="dxa" w:w="850"/>
          </w:tcPr>
          <w:p>
            <w:r/>
            <w:r>
              <w:rPr>
                <w:sz w:val="17"/>
              </w:rPr>
              <w:t xml:space="preserve">T3.10</w:t>
            </w:r>
          </w:p>
        </w:tc>
        <w:tc>
          <w:tcPr>
            <w:tcW w:type="dxa" w:w="907"/>
          </w:tcPr>
          <w:p>
            <w:r/>
            <w:r>
              <w:rPr>
                <w:sz w:val="17"/>
              </w:rPr>
              <w:t xml:space="preserve">HU-27</w:t>
            </w:r>
          </w:p>
        </w:tc>
        <w:tc>
          <w:tcPr>
            <w:tcW w:type="dxa" w:w="6350"/>
          </w:tcPr>
          <w:p>
            <w:r/>
            <w:r>
              <w:rPr>
                <w:sz w:val="17"/>
              </w:rPr>
              <w:t xml:space="preserve">CORS y cookies cross-site entre el frontend y el backend de staging</w:t>
            </w:r>
          </w:p>
        </w:tc>
        <w:tc>
          <w:tcPr>
            <w:tcW w:type="dxa" w:w="1247"/>
          </w:tcPr>
          <w:p>
            <w:r/>
            <w:r>
              <w:rPr>
                <w:sz w:val="17"/>
              </w:rPr>
              <w:t xml:space="preserve">3</w:t>
            </w:r>
          </w:p>
        </w:tc>
      </w:tr>
      <w:tr>
        <w:tc>
          <w:tcPr>
            <w:tcW w:type="dxa" w:w="850"/>
          </w:tcPr>
          <w:p>
            <w:r/>
            <w:r>
              <w:rPr>
                <w:sz w:val="17"/>
              </w:rPr>
              <w:t xml:space="preserve">T3.11</w:t>
            </w:r>
          </w:p>
        </w:tc>
        <w:tc>
          <w:tcPr>
            <w:tcW w:type="dxa" w:w="907"/>
          </w:tcPr>
          <w:p>
            <w:r/>
            <w:r>
              <w:rPr>
                <w:sz w:val="17"/>
              </w:rPr>
              <w:t xml:space="preserve">HU-18</w:t>
            </w:r>
          </w:p>
        </w:tc>
        <w:tc>
          <w:tcPr>
            <w:tcW w:type="dxa" w:w="6350"/>
          </w:tcPr>
          <w:p>
            <w:r/>
            <w:r>
              <w:rPr>
                <w:sz w:val="17"/>
              </w:rPr>
              <w:t xml:space="preserve">Smoke test de RLS en staging con cada rol (SUPER_ADMIN, MANAGER y USUARIO)</w:t>
            </w:r>
          </w:p>
        </w:tc>
        <w:tc>
          <w:tcPr>
            <w:tcW w:type="dxa" w:w="1247"/>
          </w:tcPr>
          <w:p>
            <w:r/>
            <w:r>
              <w:rPr>
                <w:sz w:val="17"/>
              </w:rPr>
              <w:t xml:space="preserve">5</w:t>
            </w:r>
          </w:p>
        </w:tc>
      </w:tr>
      <w:tr>
        <w:tc>
          <w:tcPr>
            <w:tcW w:type="dxa" w:w="850"/>
          </w:tcPr>
          <w:p>
            <w:r/>
            <w:r>
              <w:rPr>
                <w:sz w:val="17"/>
              </w:rPr>
              <w:t xml:space="preserve">T3.12</w:t>
            </w:r>
          </w:p>
        </w:tc>
        <w:tc>
          <w:tcPr>
            <w:tcW w:type="dxa" w:w="907"/>
          </w:tcPr>
          <w:p>
            <w:r/>
            <w:r>
              <w:rPr>
                <w:sz w:val="17"/>
              </w:rPr>
              <w:t xml:space="preserve">—</w:t>
            </w:r>
          </w:p>
        </w:tc>
        <w:tc>
          <w:tcPr>
            <w:tcW w:type="dxa" w:w="6350"/>
          </w:tcPr>
          <w:p>
            <w:r/>
            <w:r>
              <w:rPr>
                <w:sz w:val="17"/>
              </w:rPr>
              <w:t xml:space="preserve">Correcciones de la Fase 1 según las observaciones de la docente guía</w:t>
            </w:r>
          </w:p>
        </w:tc>
        <w:tc>
          <w:tcPr>
            <w:tcW w:type="dxa" w:w="1247"/>
          </w:tcPr>
          <w:p>
            <w:r/>
            <w:r>
              <w:rPr>
                <w:sz w:val="17"/>
              </w:rPr>
              <w:t xml:space="preserve">3</w:t>
            </w:r>
          </w:p>
        </w:tc>
      </w:tr>
      <w:tr>
        <w:tc>
          <w:tcPr>
            <w:tcW w:type="dxa" w:w="850"/>
          </w:tcPr>
          <w:p>
            <w:r/>
            <w:r>
              <w:rPr>
                <w:sz w:val="17"/>
              </w:rPr>
              <w:t xml:space="preserve">T3.13</w:t>
            </w:r>
          </w:p>
        </w:tc>
        <w:tc>
          <w:tcPr>
            <w:tcW w:type="dxa" w:w="907"/>
          </w:tcPr>
          <w:p>
            <w:r/>
            <w:r>
              <w:rPr>
                <w:sz w:val="17"/>
              </w:rPr>
              <w:t xml:space="preserve">—</w:t>
            </w:r>
          </w:p>
        </w:tc>
        <w:tc>
          <w:tcPr>
            <w:tcW w:type="dxa" w:w="6350"/>
          </w:tcPr>
          <w:p>
            <w:r/>
            <w:r>
              <w:rPr>
                <w:sz w:val="17"/>
              </w:rPr>
              <w:t xml:space="preserve">Sprint Review, Retrospective y Release del sprint</w:t>
            </w:r>
          </w:p>
        </w:tc>
        <w:tc>
          <w:tcPr>
            <w:tcW w:type="dxa" w:w="1247"/>
          </w:tcPr>
          <w:p>
            <w:r/>
            <w:r>
              <w:rPr>
                <w:sz w:val="17"/>
              </w:rPr>
              <w:t xml:space="preserve">3</w:t>
            </w:r>
          </w:p>
        </w:tc>
      </w:tr>
      <w:tr>
        <w:tc>
          <w:tcPr>
            <w:tcW w:type="dxa" w:w="850"/>
          </w:tcPr>
          <w:p>
            <w:r/>
            <w:r>
              <w:rPr>
                <w:sz w:val="17"/>
              </w:rPr>
              <w:t xml:space="preserve">T3.14</w:t>
            </w:r>
          </w:p>
        </w:tc>
        <w:tc>
          <w:tcPr>
            <w:tcW w:type="dxa" w:w="907"/>
          </w:tcPr>
          <w:p>
            <w:r/>
            <w:r>
              <w:rPr>
                <w:sz w:val="17"/>
              </w:rPr>
              <w:t xml:space="preserve">—</w:t>
            </w:r>
          </w:p>
        </w:tc>
        <w:tc>
          <w:tcPr>
            <w:tcW w:type="dxa" w:w="6350"/>
          </w:tcPr>
          <w:p>
            <w:r/>
            <w:r>
              <w:rPr>
                <w:sz w:val="17"/>
              </w:rPr>
              <w:t xml:space="preserve">Reconciliar _prisma_migrations con las migraciones aplicadas a mano (prisma migrate resolve)</w:t>
            </w:r>
          </w:p>
        </w:tc>
        <w:tc>
          <w:tcPr>
            <w:tcW w:type="dxa" w:w="1247"/>
          </w:tcPr>
          <w:p>
            <w:r/>
            <w:r>
              <w:rPr>
                <w:sz w:val="17"/>
              </w:rPr>
              <w:t xml:space="preserve">2</w:t>
            </w:r>
          </w:p>
        </w:tc>
      </w:tr>
      <w:tr>
        <w:tc>
          <w:tcPr>
            <w:tcW w:type="dxa" w:w="850"/>
          </w:tcPr>
          <w:p>
            <w:r/>
            <w:r>
              <w:rPr>
                <w:sz w:val="17"/>
              </w:rPr>
              <w:t xml:space="preserve"/>
            </w:r>
          </w:p>
        </w:tc>
        <w:tc>
          <w:tcPr>
            <w:tcW w:type="dxa" w:w="907"/>
          </w:tcPr>
          <w:p>
            <w:r/>
            <w:r>
              <w:rPr>
                <w:sz w:val="17"/>
              </w:rPr>
              <w:t xml:space="preserve"/>
            </w:r>
          </w:p>
        </w:tc>
        <w:tc>
          <w:tcPr>
            <w:tcW w:type="dxa" w:w="6350"/>
          </w:tcPr>
          <w:p>
            <w:r/>
            <w:r>
              <w:rPr>
                <w:sz w:val="17"/>
              </w:rPr>
              <w:t xml:space="preserve">Total</w:t>
            </w:r>
          </w:p>
        </w:tc>
        <w:tc>
          <w:tcPr>
            <w:tcW w:type="dxa" w:w="1247"/>
          </w:tcPr>
          <w:p>
            <w:r/>
            <w:r>
              <w:rPr>
                <w:sz w:val="17"/>
              </w:rPr>
              <w:t xml:space="preserve">55</w:t>
            </w:r>
          </w:p>
        </w:tc>
      </w:tr>
    </w:tbl>
    <w:p/>
    <w:p>
      <w:pPr>
        <w:pStyle w:val="Heading2"/>
      </w:pPr>
      <w:r>
        <w:t>4. Riesgos identificados en la planificación</w:t>
      </w:r>
    </w:p>
    <w:p>
      <w:pPr>
        <w:pStyle w:val="ListBullet"/>
      </w:pPr>
      <w:r>
        <w:t xml:space="preserve">RLS mal aplicado puede dejar sin datos a todas las pantallas: la policy es fail-closed y se prueba primero en desarrollo.</w:t>
      </w:r>
    </w:p>
    <w:p>
      <w:pPr>
        <w:pStyle w:val="ListBullet"/>
      </w:pPr>
      <w:r>
        <w:t xml:space="preserve">Prisma usa una sola conexión compartida: hay que inyectar el contexto de tenant en cada consulta sin romper las transacciones existentes.</w:t>
      </w:r>
    </w:p>
    <w:p>
      <w:pPr>
        <w:pStyle w:val="ListBullet"/>
      </w:pPr>
      <w:r>
        <w:t xml:space="preserve">Cambiar DATABASE_URL en Render requiere el dashboard de Render; hay que coordinarlo para que RLS proteja el ambiente desplegado.</w:t>
      </w:r>
    </w:p>
    <w:p>
      <w:pPr>
        <w:pStyle w:val="ListBullet"/>
      </w:pPr>
      <w:r>
        <w:t xml:space="preserve">El plan gratuito de Supabase permite solo 2 proyectos activos: crear staging obliga a pausar el proyecto de prueba de Auth.</w:t>
      </w:r>
    </w:p>
    <w:p>
      <w:pPr>
        <w:pStyle w:val="ListBullet"/>
      </w:pPr>
      <w:r>
        <w:t xml:space="preserve">La Ley 21.719 entra en vigencia el 01-12-2026: el consentimiento tiene que quedar resuelto antes.</w:t>
      </w:r>
    </w:p>
    <w:p>
      <w:pPr>
        <w:pStyle w:val="Heading2"/>
      </w:pPr>
      <w:r>
        <w:t>5. Definition of Done aplicable</w:t>
      </w:r>
    </w:p>
    <w:p>
      <w:pPr>
        <w:pStyle w:val="ListBullet"/>
      </w:pPr>
      <w:r>
        <w:t>Código en main con CI en verde (lint, build, test).</w:t>
      </w:r>
    </w:p>
    <w:p>
      <w:pPr>
        <w:pStyle w:val="ListBullet"/>
      </w:pPr>
      <w:r>
        <w:t>Desplegado en el ambiente correspondiente y con smoke test documentado.</w:t>
      </w:r>
    </w:p>
    <w:p>
      <w:pPr>
        <w:pStyle w:val="ListBullet"/>
      </w:pPr>
      <w:r>
        <w:t>Criterios de aceptación verificados.</w:t>
      </w:r>
    </w:p>
    <w:p>
      <w:pPr>
        <w:pStyle w:val="ListBullet"/>
      </w:pPr>
      <w:r>
        <w:t>Bitácora FEATURES.md y README actualizados.</w:t>
      </w:r>
    </w:p>
    <w:p/>
    <w:p>
      <w:r>
        <w:rPr>
          <w:b/>
          <w:i w:val="0"/>
        </w:rPr>
        <w:t>Control de versiones</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1F3A5F"/>
          </w:tcPr>
          <w:p>
            <w:r/>
            <w:r>
              <w:rPr>
                <w:b/>
                <w:color w:val="FFFFFF"/>
                <w:sz w:val="19"/>
              </w:rPr>
              <w:t>Versión</w:t>
            </w:r>
          </w:p>
        </w:tc>
        <w:tc>
          <w:tcPr>
            <w:tcW w:type="dxa" w:w="1701"/>
            <w:shd w:val="clear" w:color="auto" w:fill="1F3A5F"/>
          </w:tcPr>
          <w:p>
            <w:r/>
            <w:r>
              <w:rPr>
                <w:b/>
                <w:color w:val="FFFFFF"/>
                <w:sz w:val="19"/>
              </w:rPr>
              <w:t>Fecha</w:t>
            </w:r>
          </w:p>
        </w:tc>
        <w:tc>
          <w:tcPr>
            <w:tcW w:type="dxa" w:w="2835"/>
            <w:shd w:val="clear" w:color="auto" w:fill="1F3A5F"/>
          </w:tcPr>
          <w:p>
            <w:r/>
            <w:r>
              <w:rPr>
                <w:b/>
                <w:color w:val="FFFFFF"/>
                <w:sz w:val="19"/>
              </w:rPr>
              <w:t>Autor</w:t>
            </w:r>
          </w:p>
        </w:tc>
        <w:tc>
          <w:tcPr>
            <w:tcW w:type="dxa" w:w="3685"/>
            <w:shd w:val="clear" w:color="auto" w:fill="1F3A5F"/>
          </w:tcPr>
          <w:p>
            <w:r/>
            <w:r>
              <w:rPr>
                <w:b/>
                <w:color w:val="FFFFFF"/>
                <w:sz w:val="19"/>
              </w:rPr>
              <w:t>Descripción</w:t>
            </w:r>
          </w:p>
        </w:tc>
      </w:tr>
      <w:tr>
        <w:tc>
          <w:tcPr>
            <w:tcW w:type="dxa" w:w="1134"/>
          </w:tcPr>
          <w:p>
            <w:r/>
            <w:r>
              <w:rPr>
                <w:sz w:val="19"/>
              </w:rPr>
              <w:t xml:space="preserve">1.0</w:t>
            </w:r>
          </w:p>
        </w:tc>
        <w:tc>
          <w:tcPr>
            <w:tcW w:type="dxa" w:w="1701"/>
          </w:tcPr>
          <w:p>
            <w:r/>
            <w:r>
              <w:rPr>
                <w:sz w:val="19"/>
              </w:rPr>
              <w:t xml:space="preserve">05-10-2026</w:t>
            </w:r>
          </w:p>
        </w:tc>
        <w:tc>
          <w:tcPr>
            <w:tcW w:type="dxa" w:w="2835"/>
          </w:tcPr>
          <w:p>
            <w:r/>
            <w:r>
              <w:rPr>
                <w:sz w:val="19"/>
              </w:rPr>
              <w:t xml:space="preserve">Matías Cofré</w:t>
            </w:r>
          </w:p>
        </w:tc>
        <w:tc>
          <w:tcPr>
            <w:tcW w:type="dxa" w:w="3685"/>
          </w:tcPr>
          <w:p>
            <w:r/>
            <w:r>
              <w:rPr>
                <w:sz w:val="19"/>
              </w:rPr>
              <w:t xml:space="preserve">Versión inicial del documento</w:t>
            </w:r>
          </w:p>
        </w:tc>
      </w:tr>
    </w:tbl>
    <w:p/>
    <w:sectPr w:rsidR="00FC693F" w:rsidRPr="0006063C" w:rsidSect="00034616">
      <w:head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07070"/>
        <w:sz w:val="16"/>
      </w:rPr>
      <w:t>EvangelicApp · Proyecto APT 2026-2 · S3-01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5"/>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