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Sprint Backlog — Sprint 3</w:t>
      </w:r>
    </w:p>
    <w:tbl>
      <w:tblPr>
        <w:tblStyle w:val="TableGrid"/>
        <w:tblW w:type="auto" w:w="0"/>
        <w:tblLook w:firstColumn="1" w:firstRow="1" w:lastColumn="0" w:lastRow="0" w:noHBand="0" w:noVBand="1" w:val="04A0"/>
      </w:tblPr>
      <w:tblGrid>
        <w:gridCol w:w="4873"/>
        <w:gridCol w:w="4873"/>
      </w:tblGrid>
      <w:tr>
        <w:tc>
          <w:tcPr>
            <w:tcW w:type="dxa" w:w="2268"/>
            <w:shd w:val="clear" w:color="auto" w:fill="E8EEF6"/>
          </w:tcPr>
          <w:p>
            <w:r>
              <w:rPr>
                <w:b/>
              </w:rPr>
              <w:t>Proyecto</w:t>
            </w:r>
          </w:p>
        </w:tc>
        <w:tc>
          <w:tcPr>
            <w:tcW w:type="dxa" w:w="7087"/>
          </w:tcPr>
          <w:p>
            <w:r>
              <w:t>EvangelicApp — Plataforma de gestión para iglesias evangélicas de Chile</w:t>
            </w:r>
          </w:p>
        </w:tc>
      </w:tr>
      <w:tr>
        <w:tc>
          <w:tcPr>
            <w:tcW w:type="dxa" w:w="2268"/>
            <w:shd w:val="clear" w:color="auto" w:fill="E8EEF6"/>
          </w:tcPr>
          <w:p>
            <w:r>
              <w:rPr>
                <w:b/>
              </w:rPr>
              <w:t>Documento</w:t>
            </w:r>
          </w:p>
        </w:tc>
        <w:tc>
          <w:tcPr>
            <w:tcW w:type="dxa" w:w="7087"/>
          </w:tcPr>
          <w:p>
            <w:r>
              <w:t>S3-02 — Sprint Backlog — Sprint 3</w:t>
            </w:r>
          </w:p>
        </w:tc>
      </w:tr>
      <w:tr>
        <w:tc>
          <w:tcPr>
            <w:tcW w:type="dxa" w:w="2268"/>
            <w:shd w:val="clear" w:color="auto" w:fill="E8EEF6"/>
          </w:tcPr>
          <w:p>
            <w:r>
              <w:rPr>
                <w:b/>
              </w:rPr>
              <w:t>Marco de trabajo</w:t>
            </w:r>
          </w:p>
        </w:tc>
        <w:tc>
          <w:tcPr>
            <w:tcW w:type="dxa" w:w="7087"/>
          </w:tcPr>
          <w:p>
            <w:r>
              <w:t>Scrum</w:t>
            </w:r>
          </w:p>
        </w:tc>
      </w:tr>
      <w:tr>
        <w:tc>
          <w:tcPr>
            <w:tcW w:type="dxa" w:w="2268"/>
            <w:shd w:val="clear" w:color="auto" w:fill="E8EEF6"/>
          </w:tcPr>
          <w:p>
            <w:r>
              <w:rPr>
                <w:b/>
              </w:rPr>
              <w:t>Sprint / Fase</w:t>
            </w:r>
          </w:p>
        </w:tc>
        <w:tc>
          <w:tcPr>
            <w:tcW w:type="dxa" w:w="7087"/>
          </w:tcPr>
          <w:p>
            <w:r>
              <w:t xml:space="preserve">Sprint 3 · S9–S10</w:t>
            </w:r>
          </w:p>
        </w:tc>
      </w:tr>
      <w:tr>
        <w:tc>
          <w:tcPr>
            <w:tcW w:type="dxa" w:w="2268"/>
            <w:shd w:val="clear" w:color="auto" w:fill="E8EEF6"/>
          </w:tcPr>
          <w:p>
            <w:r>
              <w:rPr>
                <w:b/>
              </w:rPr>
              <w:t>Fecha</w:t>
            </w:r>
          </w:p>
        </w:tc>
        <w:tc>
          <w:tcPr>
            <w:tcW w:type="dxa" w:w="7087"/>
          </w:tcPr>
          <w:p>
            <w:r>
              <w:t xml:space="preserve">16-10-2026</w:t>
            </w:r>
          </w:p>
        </w:tc>
      </w:tr>
      <w:tr>
        <w:tc>
          <w:tcPr>
            <w:tcW w:type="dxa" w:w="2268"/>
            <w:shd w:val="clear" w:color="auto" w:fill="E8EEF6"/>
          </w:tcPr>
          <w:p>
            <w:r>
              <w:rPr>
                <w:b/>
              </w:rPr>
              <w:t>Versión</w:t>
            </w:r>
          </w:p>
        </w:tc>
        <w:tc>
          <w:tcPr>
            <w:tcW w:type="dxa" w:w="7087"/>
          </w:tcPr>
          <w:p>
            <w:r>
              <w:t xml:space="preserve">1.2</w:t>
            </w:r>
          </w:p>
        </w:tc>
      </w:tr>
      <w:tr>
        <w:tc>
          <w:tcPr>
            <w:tcW w:type="dxa" w:w="2268"/>
            <w:shd w:val="clear" w:color="auto" w:fill="E8EEF6"/>
          </w:tcPr>
          <w:p>
            <w:r>
              <w:rPr>
                <w:b/>
              </w:rPr>
              <w:t>Autor</w:t>
            </w:r>
          </w:p>
        </w:tc>
        <w:tc>
          <w:tcPr>
            <w:tcW w:type="dxa" w:w="7087"/>
          </w:tcPr>
          <w:p>
            <w:r>
              <w:t>Matías Cofré (Developer)</w:t>
            </w:r>
          </w:p>
        </w:tc>
      </w:tr>
    </w:tbl>
    <w:p/>
    <w:p>
      <w:r>
        <w:rPr>
          <w:b w:val="0"/>
          <w:i/>
        </w:rPr>
        <w:t xml:space="preserve">Sprint Goal: Activar el aislamiento multi-tenant también en la base de datos (RLS, con un rol de conexión sin BYPASSRLS), exigir el consentimiento de la Ley 21.719 en el registro por QR y montar un ambiente de staging aislado para probar cada cambio antes de producción.</w:t>
      </w:r>
    </w:p>
    <w:p>
      <w:r>
        <w:rPr>
          <w:b w:val="0"/>
          <w:i w:val="0"/>
        </w:rPr>
        <w:t xml:space="preserve">Estado final del Sprint Backlog al cierre del 16-10-2026 (día 10 de 10). Las 14 tareas están hechas (55 h). En la Sprint Review se aceptaron HU-18 y HU-27. HU-12 no se aceptó: el consentimiento se exige en el formulario, pero el backend no guarda cuándo ni qué versión de la política aceptó cada integrante (criterio 2), así que no cumple la Definition of Done y vuelve al Product Backlog sin sprint asignado. Velocidad: 21 de 26 puntos.</w:t>
      </w:r>
    </w:p>
    <w:p>
      <w:pPr>
        <w:pStyle w:val="Heading3"/>
      </w:pPr>
      <w:r>
        <w:t xml:space="preserve">HU-18 — 13 pts — Aceptada en la Review</w:t>
      </w:r>
    </w:p>
    <w:p>
      <w:r>
        <w:rPr>
          <w:b w:val="0"/>
          <w:i w:val="0"/>
          <w:sz w:val="19"/>
        </w:rPr>
        <w:t xml:space="preserve">Como iglesia quiero que mis datos estén aislados de otras iglesias también a nivel de base de datos (RLS).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850"/>
            <w:shd w:val="clear" w:color="auto" w:fill="1F3A5F"/>
          </w:tcPr>
          <w:p>
            <w:r/>
            <w:r>
              <w:rPr>
                <w:b/>
                <w:color w:val="FFFFFF"/>
                <w:sz w:val="17"/>
              </w:rPr>
              <w:t>Tarea</w:t>
            </w:r>
          </w:p>
        </w:tc>
        <w:tc>
          <w:tcPr>
            <w:tcW w:type="dxa" w:w="5953"/>
            <w:shd w:val="clear" w:color="auto" w:fill="1F3A5F"/>
          </w:tcPr>
          <w:p>
            <w:r/>
            <w:r>
              <w:rPr>
                <w:b/>
                <w:color w:val="FFFFFF"/>
                <w:sz w:val="17"/>
              </w:rPr>
              <w:t>Descripción</w:t>
            </w:r>
          </w:p>
        </w:tc>
        <w:tc>
          <w:tcPr>
            <w:tcW w:type="dxa" w:w="850"/>
            <w:shd w:val="clear" w:color="auto" w:fill="1F3A5F"/>
          </w:tcPr>
          <w:p>
            <w:r/>
            <w:r>
              <w:rPr>
                <w:b/>
                <w:color w:val="FFFFFF"/>
                <w:sz w:val="17"/>
              </w:rPr>
              <w:t>Horas</w:t>
            </w:r>
          </w:p>
        </w:tc>
        <w:tc>
          <w:tcPr>
            <w:tcW w:type="dxa" w:w="1701"/>
            <w:shd w:val="clear" w:color="auto" w:fill="1F3A5F"/>
          </w:tcPr>
          <w:p>
            <w:r/>
            <w:r>
              <w:rPr>
                <w:b/>
                <w:color w:val="FFFFFF"/>
                <w:sz w:val="17"/>
              </w:rPr>
              <w:t>Estado</w:t>
            </w:r>
          </w:p>
        </w:tc>
      </w:tr>
      <w:tr>
        <w:tc>
          <w:tcPr>
            <w:tcW w:type="dxa" w:w="850"/>
          </w:tcPr>
          <w:p>
            <w:r/>
            <w:r>
              <w:rPr>
                <w:sz w:val="17"/>
              </w:rPr>
              <w:t xml:space="preserve">T3.1</w:t>
            </w:r>
          </w:p>
        </w:tc>
        <w:tc>
          <w:tcPr>
            <w:tcW w:type="dxa" w:w="5953"/>
          </w:tcPr>
          <w:p>
            <w:r/>
            <w:r>
              <w:rPr>
                <w:sz w:val="17"/>
              </w:rPr>
              <w:t xml:space="preserve">Diseño de RLS con Prisma (una sola conexión compartida) y rol app_runtime sin BYPASSRLS</w:t>
            </w:r>
          </w:p>
        </w:tc>
        <w:tc>
          <w:tcPr>
            <w:tcW w:type="dxa" w:w="850"/>
          </w:tcPr>
          <w:p>
            <w:r/>
            <w:r>
              <w:rPr>
                <w:sz w:val="17"/>
              </w:rPr>
              <w:t xml:space="preserve">3</w:t>
            </w:r>
          </w:p>
        </w:tc>
        <w:tc>
          <w:tcPr>
            <w:tcW w:type="dxa" w:w="1701"/>
          </w:tcPr>
          <w:p>
            <w:r/>
            <w:r>
              <w:rPr>
                <w:sz w:val="17"/>
              </w:rPr>
              <w:t xml:space="preserve">Hecho</w:t>
            </w:r>
          </w:p>
        </w:tc>
      </w:tr>
      <w:tr>
        <w:tc>
          <w:tcPr>
            <w:tcW w:type="dxa" w:w="850"/>
          </w:tcPr>
          <w:p>
            <w:r/>
            <w:r>
              <w:rPr>
                <w:sz w:val="17"/>
              </w:rPr>
              <w:t xml:space="preserve">T3.2</w:t>
            </w:r>
          </w:p>
        </w:tc>
        <w:tc>
          <w:tcPr>
            <w:tcW w:type="dxa" w:w="5953"/>
          </w:tcPr>
          <w:p>
            <w:r/>
            <w:r>
              <w:rPr>
                <w:sz w:val="17"/>
              </w:rPr>
              <w:t xml:space="preserve">Contexto de tenant por request (AsyncLocalStorage + middleware) y bypass acotado (runAsService)</w:t>
            </w:r>
          </w:p>
        </w:tc>
        <w:tc>
          <w:tcPr>
            <w:tcW w:type="dxa" w:w="850"/>
          </w:tcPr>
          <w:p>
            <w:r/>
            <w:r>
              <w:rPr>
                <w:sz w:val="17"/>
              </w:rPr>
              <w:t xml:space="preserve">5</w:t>
            </w:r>
          </w:p>
        </w:tc>
        <w:tc>
          <w:tcPr>
            <w:tcW w:type="dxa" w:w="1701"/>
          </w:tcPr>
          <w:p>
            <w:r/>
            <w:r>
              <w:rPr>
                <w:sz w:val="17"/>
              </w:rPr>
              <w:t xml:space="preserve">Hecho</w:t>
            </w:r>
          </w:p>
        </w:tc>
      </w:tr>
      <w:tr>
        <w:tc>
          <w:tcPr>
            <w:tcW w:type="dxa" w:w="850"/>
          </w:tcPr>
          <w:p>
            <w:r/>
            <w:r>
              <w:rPr>
                <w:sz w:val="17"/>
              </w:rPr>
              <w:t xml:space="preserve">T3.3</w:t>
            </w:r>
          </w:p>
        </w:tc>
        <w:tc>
          <w:tcPr>
            <w:tcW w:type="dxa" w:w="5953"/>
          </w:tcPr>
          <w:p>
            <w:r/>
            <w:r>
              <w:rPr>
                <w:sz w:val="17"/>
              </w:rPr>
              <w:t xml:space="preserve">Migración RLS: ENABLE + FORCE y policy tenant_isolation en 16 tablas, con funciones helper</w:t>
            </w:r>
          </w:p>
        </w:tc>
        <w:tc>
          <w:tcPr>
            <w:tcW w:type="dxa" w:w="850"/>
          </w:tcPr>
          <w:p>
            <w:r/>
            <w:r>
              <w:rPr>
                <w:sz w:val="17"/>
              </w:rPr>
              <w:t xml:space="preserve">7</w:t>
            </w:r>
          </w:p>
        </w:tc>
        <w:tc>
          <w:tcPr>
            <w:tcW w:type="dxa" w:w="1701"/>
          </w:tcPr>
          <w:p>
            <w:r/>
            <w:r>
              <w:rPr>
                <w:sz w:val="17"/>
              </w:rPr>
              <w:t xml:space="preserve">Hecho</w:t>
            </w:r>
          </w:p>
        </w:tc>
      </w:tr>
      <w:tr>
        <w:tc>
          <w:tcPr>
            <w:tcW w:type="dxa" w:w="850"/>
          </w:tcPr>
          <w:p>
            <w:r/>
            <w:r>
              <w:rPr>
                <w:sz w:val="17"/>
              </w:rPr>
              <w:t xml:space="preserve">T3.4</w:t>
            </w:r>
          </w:p>
        </w:tc>
        <w:tc>
          <w:tcPr>
            <w:tcW w:type="dxa" w:w="5953"/>
          </w:tcPr>
          <w:p>
            <w:r/>
            <w:r>
              <w:rPr>
                <w:sz w:val="17"/>
              </w:rPr>
              <w:t xml:space="preserve">Conectar el contexto de tenant a Prisma (set_config en cada consulta)</w:t>
            </w:r>
          </w:p>
        </w:tc>
        <w:tc>
          <w:tcPr>
            <w:tcW w:type="dxa" w:w="850"/>
          </w:tcPr>
          <w:p>
            <w:r/>
            <w:r>
              <w:rPr>
                <w:sz w:val="17"/>
              </w:rPr>
              <w:t xml:space="preserve">5</w:t>
            </w:r>
          </w:p>
        </w:tc>
        <w:tc>
          <w:tcPr>
            <w:tcW w:type="dxa" w:w="1701"/>
          </w:tcPr>
          <w:p>
            <w:r/>
            <w:r>
              <w:rPr>
                <w:sz w:val="17"/>
              </w:rPr>
              <w:t xml:space="preserve">Hecho</w:t>
            </w:r>
          </w:p>
        </w:tc>
      </w:tr>
      <w:tr>
        <w:tc>
          <w:tcPr>
            <w:tcW w:type="dxa" w:w="850"/>
          </w:tcPr>
          <w:p>
            <w:r/>
            <w:r>
              <w:rPr>
                <w:sz w:val="17"/>
              </w:rPr>
              <w:t xml:space="preserve">T3.5</w:t>
            </w:r>
          </w:p>
        </w:tc>
        <w:tc>
          <w:tcPr>
            <w:tcW w:type="dxa" w:w="5953"/>
          </w:tcPr>
          <w:p>
            <w:r/>
            <w:r>
              <w:rPr>
                <w:sz w:val="17"/>
              </w:rPr>
              <w:t xml:space="preserve">Verificación de RLS: SQL con SET ROLE app_runtime y smoke test HTTP</w:t>
            </w:r>
          </w:p>
        </w:tc>
        <w:tc>
          <w:tcPr>
            <w:tcW w:type="dxa" w:w="850"/>
          </w:tcPr>
          <w:p>
            <w:r/>
            <w:r>
              <w:rPr>
                <w:sz w:val="17"/>
              </w:rPr>
              <w:t xml:space="preserve">4</w:t>
            </w:r>
          </w:p>
        </w:tc>
        <w:tc>
          <w:tcPr>
            <w:tcW w:type="dxa" w:w="1701"/>
          </w:tcPr>
          <w:p>
            <w:r/>
            <w:r>
              <w:rPr>
                <w:sz w:val="17"/>
              </w:rPr>
              <w:t xml:space="preserve">Hecho</w:t>
            </w:r>
          </w:p>
        </w:tc>
      </w:tr>
      <w:tr>
        <w:tc>
          <w:tcPr>
            <w:tcW w:type="dxa" w:w="850"/>
          </w:tcPr>
          <w:p>
            <w:r/>
            <w:r>
              <w:rPr>
                <w:sz w:val="17"/>
              </w:rPr>
              <w:t xml:space="preserve">T3.11</w:t>
            </w:r>
          </w:p>
        </w:tc>
        <w:tc>
          <w:tcPr>
            <w:tcW w:type="dxa" w:w="5953"/>
          </w:tcPr>
          <w:p>
            <w:r/>
            <w:r>
              <w:rPr>
                <w:sz w:val="17"/>
              </w:rPr>
              <w:t xml:space="preserve">Smoke test de RLS en staging con cada rol (SUPER_ADMIN, MANAGER y USUARIO)</w:t>
            </w:r>
          </w:p>
        </w:tc>
        <w:tc>
          <w:tcPr>
            <w:tcW w:type="dxa" w:w="850"/>
          </w:tcPr>
          <w:p>
            <w:r/>
            <w:r>
              <w:rPr>
                <w:sz w:val="17"/>
              </w:rPr>
              <w:t xml:space="preserve">5</w:t>
            </w:r>
          </w:p>
        </w:tc>
        <w:tc>
          <w:tcPr>
            <w:tcW w:type="dxa" w:w="1701"/>
          </w:tcPr>
          <w:p>
            <w:r/>
            <w:r>
              <w:rPr>
                <w:sz w:val="17"/>
              </w:rPr>
              <w:t xml:space="preserve">Hecho</w:t>
            </w:r>
          </w:p>
        </w:tc>
      </w:tr>
    </w:tbl>
    <w:p/>
    <w:p>
      <w:pPr>
        <w:pStyle w:val="Heading3"/>
      </w:pPr>
      <w:r>
        <w:t xml:space="preserve">HU-12 — 5 pts — No aceptada (criterio 2), vuelve al Product Backlog</w:t>
      </w:r>
    </w:p>
    <w:p>
      <w:r>
        <w:rPr>
          <w:b w:val="0"/>
          <w:i w:val="0"/>
          <w:sz w:val="19"/>
        </w:rPr>
        <w:t xml:space="preserve">Como Secretaria quiero que el registro de integrantes por QR exija aceptar el tratamiento de datos, para mantener un censo actualizado y cumplir la Ley 21.719.</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850"/>
            <w:shd w:val="clear" w:color="auto" w:fill="1F3A5F"/>
          </w:tcPr>
          <w:p>
            <w:r/>
            <w:r>
              <w:rPr>
                <w:b/>
                <w:color w:val="FFFFFF"/>
                <w:sz w:val="17"/>
              </w:rPr>
              <w:t>Tarea</w:t>
            </w:r>
          </w:p>
        </w:tc>
        <w:tc>
          <w:tcPr>
            <w:tcW w:type="dxa" w:w="5953"/>
            <w:shd w:val="clear" w:color="auto" w:fill="1F3A5F"/>
          </w:tcPr>
          <w:p>
            <w:r/>
            <w:r>
              <w:rPr>
                <w:b/>
                <w:color w:val="FFFFFF"/>
                <w:sz w:val="17"/>
              </w:rPr>
              <w:t>Descripción</w:t>
            </w:r>
          </w:p>
        </w:tc>
        <w:tc>
          <w:tcPr>
            <w:tcW w:type="dxa" w:w="850"/>
            <w:shd w:val="clear" w:color="auto" w:fill="1F3A5F"/>
          </w:tcPr>
          <w:p>
            <w:r/>
            <w:r>
              <w:rPr>
                <w:b/>
                <w:color w:val="FFFFFF"/>
                <w:sz w:val="17"/>
              </w:rPr>
              <w:t>Horas</w:t>
            </w:r>
          </w:p>
        </w:tc>
        <w:tc>
          <w:tcPr>
            <w:tcW w:type="dxa" w:w="1701"/>
            <w:shd w:val="clear" w:color="auto" w:fill="1F3A5F"/>
          </w:tcPr>
          <w:p>
            <w:r/>
            <w:r>
              <w:rPr>
                <w:b/>
                <w:color w:val="FFFFFF"/>
                <w:sz w:val="17"/>
              </w:rPr>
              <w:t>Estado</w:t>
            </w:r>
          </w:p>
        </w:tc>
      </w:tr>
      <w:tr>
        <w:tc>
          <w:tcPr>
            <w:tcW w:type="dxa" w:w="850"/>
          </w:tcPr>
          <w:p>
            <w:r/>
            <w:r>
              <w:rPr>
                <w:sz w:val="17"/>
              </w:rPr>
              <w:t xml:space="preserve">T3.6</w:t>
            </w:r>
          </w:p>
        </w:tc>
        <w:tc>
          <w:tcPr>
            <w:tcW w:type="dxa" w:w="5953"/>
          </w:tcPr>
          <w:p>
            <w:r/>
            <w:r>
              <w:rPr>
                <w:sz w:val="17"/>
              </w:rPr>
              <w:t xml:space="preserve">Eliminar el rol MIEMBRO del sistema (migración del enum Rol)</w:t>
            </w:r>
          </w:p>
        </w:tc>
        <w:tc>
          <w:tcPr>
            <w:tcW w:type="dxa" w:w="850"/>
          </w:tcPr>
          <w:p>
            <w:r/>
            <w:r>
              <w:rPr>
                <w:sz w:val="17"/>
              </w:rPr>
              <w:t xml:space="preserve">2</w:t>
            </w:r>
          </w:p>
        </w:tc>
        <w:tc>
          <w:tcPr>
            <w:tcW w:type="dxa" w:w="1701"/>
          </w:tcPr>
          <w:p>
            <w:r/>
            <w:r>
              <w:rPr>
                <w:sz w:val="17"/>
              </w:rPr>
              <w:t xml:space="preserve">Hecho</w:t>
            </w:r>
          </w:p>
        </w:tc>
      </w:tr>
      <w:tr>
        <w:tc>
          <w:tcPr>
            <w:tcW w:type="dxa" w:w="850"/>
          </w:tcPr>
          <w:p>
            <w:r/>
            <w:r>
              <w:rPr>
                <w:sz w:val="17"/>
              </w:rPr>
              <w:t xml:space="preserve">T3.7</w:t>
            </w:r>
          </w:p>
        </w:tc>
        <w:tc>
          <w:tcPr>
            <w:tcW w:type="dxa" w:w="5953"/>
          </w:tcPr>
          <w:p>
            <w:r/>
            <w:r>
              <w:rPr>
                <w:sz w:val="17"/>
              </w:rPr>
              <w:t xml:space="preserve">Consentimiento Ley 21.719 en el registro por QR: contrato y brief para el frontend</w:t>
            </w:r>
          </w:p>
        </w:tc>
        <w:tc>
          <w:tcPr>
            <w:tcW w:type="dxa" w:w="850"/>
          </w:tcPr>
          <w:p>
            <w:r/>
            <w:r>
              <w:rPr>
                <w:sz w:val="17"/>
              </w:rPr>
              <w:t xml:space="preserve">3</w:t>
            </w:r>
          </w:p>
        </w:tc>
        <w:tc>
          <w:tcPr>
            <w:tcW w:type="dxa" w:w="1701"/>
          </w:tcPr>
          <w:p>
            <w:r/>
            <w:r>
              <w:rPr>
                <w:sz w:val="17"/>
              </w:rPr>
              <w:t xml:space="preserve">Hecho</w:t>
            </w:r>
          </w:p>
        </w:tc>
      </w:tr>
    </w:tbl>
    <w:p/>
    <w:p>
      <w:pPr>
        <w:pStyle w:val="Heading3"/>
      </w:pPr>
      <w:r>
        <w:t xml:space="preserve">HU-27 — 8 pts — Aceptada en la Review</w:t>
      </w:r>
    </w:p>
    <w:p>
      <w:r>
        <w:rPr>
          <w:b w:val="0"/>
          <w:i w:val="0"/>
          <w:sz w:val="19"/>
        </w:rPr>
        <w:t xml:space="preserve">Como equipo quiero un ambiente de staging aislado de producción (Supabase, Render y Cloudflare), para probar cada cambio antes de publicarlo.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850"/>
            <w:shd w:val="clear" w:color="auto" w:fill="1F3A5F"/>
          </w:tcPr>
          <w:p>
            <w:r/>
            <w:r>
              <w:rPr>
                <w:b/>
                <w:color w:val="FFFFFF"/>
                <w:sz w:val="17"/>
              </w:rPr>
              <w:t>Tarea</w:t>
            </w:r>
          </w:p>
        </w:tc>
        <w:tc>
          <w:tcPr>
            <w:tcW w:type="dxa" w:w="5953"/>
            <w:shd w:val="clear" w:color="auto" w:fill="1F3A5F"/>
          </w:tcPr>
          <w:p>
            <w:r/>
            <w:r>
              <w:rPr>
                <w:b/>
                <w:color w:val="FFFFFF"/>
                <w:sz w:val="17"/>
              </w:rPr>
              <w:t>Descripción</w:t>
            </w:r>
          </w:p>
        </w:tc>
        <w:tc>
          <w:tcPr>
            <w:tcW w:type="dxa" w:w="850"/>
            <w:shd w:val="clear" w:color="auto" w:fill="1F3A5F"/>
          </w:tcPr>
          <w:p>
            <w:r/>
            <w:r>
              <w:rPr>
                <w:b/>
                <w:color w:val="FFFFFF"/>
                <w:sz w:val="17"/>
              </w:rPr>
              <w:t>Horas</w:t>
            </w:r>
          </w:p>
        </w:tc>
        <w:tc>
          <w:tcPr>
            <w:tcW w:type="dxa" w:w="1701"/>
            <w:shd w:val="clear" w:color="auto" w:fill="1F3A5F"/>
          </w:tcPr>
          <w:p>
            <w:r/>
            <w:r>
              <w:rPr>
                <w:b/>
                <w:color w:val="FFFFFF"/>
                <w:sz w:val="17"/>
              </w:rPr>
              <w:t>Estado</w:t>
            </w:r>
          </w:p>
        </w:tc>
      </w:tr>
      <w:tr>
        <w:tc>
          <w:tcPr>
            <w:tcW w:type="dxa" w:w="850"/>
          </w:tcPr>
          <w:p>
            <w:r/>
            <w:r>
              <w:rPr>
                <w:sz w:val="17"/>
              </w:rPr>
              <w:t xml:space="preserve">T3.8</w:t>
            </w:r>
          </w:p>
        </w:tc>
        <w:tc>
          <w:tcPr>
            <w:tcW w:type="dxa" w:w="5953"/>
          </w:tcPr>
          <w:p>
            <w:r/>
            <w:r>
              <w:rPr>
                <w:sz w:val="17"/>
              </w:rPr>
              <w:t xml:space="preserve">Proyecto Supabase de staging (Backend-staging) con el rol app_runtime</w:t>
            </w:r>
          </w:p>
        </w:tc>
        <w:tc>
          <w:tcPr>
            <w:tcW w:type="dxa" w:w="850"/>
          </w:tcPr>
          <w:p>
            <w:r/>
            <w:r>
              <w:rPr>
                <w:sz w:val="17"/>
              </w:rPr>
              <w:t xml:space="preserve">3</w:t>
            </w:r>
          </w:p>
        </w:tc>
        <w:tc>
          <w:tcPr>
            <w:tcW w:type="dxa" w:w="1701"/>
          </w:tcPr>
          <w:p>
            <w:r/>
            <w:r>
              <w:rPr>
                <w:sz w:val="17"/>
              </w:rPr>
              <w:t xml:space="preserve">Hecho</w:t>
            </w:r>
          </w:p>
        </w:tc>
      </w:tr>
      <w:tr>
        <w:tc>
          <w:tcPr>
            <w:tcW w:type="dxa" w:w="850"/>
          </w:tcPr>
          <w:p>
            <w:r/>
            <w:r>
              <w:rPr>
                <w:sz w:val="17"/>
              </w:rPr>
              <w:t xml:space="preserve">T3.9</w:t>
            </w:r>
          </w:p>
        </w:tc>
        <w:tc>
          <w:tcPr>
            <w:tcW w:type="dxa" w:w="5953"/>
          </w:tcPr>
          <w:p>
            <w:r/>
            <w:r>
              <w:rPr>
                <w:sz w:val="17"/>
              </w:rPr>
              <w:t xml:space="preserve">Backend de staging en Render: rama staging, migraciones en pre-deploy y DATABASE_URL como app_runtime</w:t>
            </w:r>
          </w:p>
        </w:tc>
        <w:tc>
          <w:tcPr>
            <w:tcW w:type="dxa" w:w="850"/>
          </w:tcPr>
          <w:p>
            <w:r/>
            <w:r>
              <w:rPr>
                <w:sz w:val="17"/>
              </w:rPr>
              <w:t xml:space="preserve">7</w:t>
            </w:r>
          </w:p>
        </w:tc>
        <w:tc>
          <w:tcPr>
            <w:tcW w:type="dxa" w:w="1701"/>
          </w:tcPr>
          <w:p>
            <w:r/>
            <w:r>
              <w:rPr>
                <w:sz w:val="17"/>
              </w:rPr>
              <w:t xml:space="preserve">Hecho</w:t>
            </w:r>
          </w:p>
        </w:tc>
      </w:tr>
      <w:tr>
        <w:tc>
          <w:tcPr>
            <w:tcW w:type="dxa" w:w="850"/>
          </w:tcPr>
          <w:p>
            <w:r/>
            <w:r>
              <w:rPr>
                <w:sz w:val="17"/>
              </w:rPr>
              <w:t xml:space="preserve">T3.10</w:t>
            </w:r>
          </w:p>
        </w:tc>
        <w:tc>
          <w:tcPr>
            <w:tcW w:type="dxa" w:w="5953"/>
          </w:tcPr>
          <w:p>
            <w:r/>
            <w:r>
              <w:rPr>
                <w:sz w:val="17"/>
              </w:rPr>
              <w:t xml:space="preserve">CORS y cookies cross-site entre el frontend y el backend de staging</w:t>
            </w:r>
          </w:p>
        </w:tc>
        <w:tc>
          <w:tcPr>
            <w:tcW w:type="dxa" w:w="850"/>
          </w:tcPr>
          <w:p>
            <w:r/>
            <w:r>
              <w:rPr>
                <w:sz w:val="17"/>
              </w:rPr>
              <w:t xml:space="preserve">3</w:t>
            </w:r>
          </w:p>
        </w:tc>
        <w:tc>
          <w:tcPr>
            <w:tcW w:type="dxa" w:w="1701"/>
          </w:tcPr>
          <w:p>
            <w:r/>
            <w:r>
              <w:rPr>
                <w:sz w:val="17"/>
              </w:rPr>
              <w:t xml:space="preserve">Hecho</w:t>
            </w:r>
          </w:p>
        </w:tc>
      </w:tr>
    </w:tbl>
    <w:p/>
    <w:p>
      <w:pPr>
        <w:pStyle w:val="Heading3"/>
      </w:pPr>
      <w:r>
        <w:t>Tareas técnicas / de soporte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850"/>
            <w:shd w:val="clear" w:color="auto" w:fill="1F3A5F"/>
          </w:tcPr>
          <w:p>
            <w:r/>
            <w:r>
              <w:rPr>
                <w:b/>
                <w:color w:val="FFFFFF"/>
                <w:sz w:val="17"/>
              </w:rPr>
              <w:t>Tarea</w:t>
            </w:r>
          </w:p>
        </w:tc>
        <w:tc>
          <w:tcPr>
            <w:tcW w:type="dxa" w:w="5953"/>
            <w:shd w:val="clear" w:color="auto" w:fill="1F3A5F"/>
          </w:tcPr>
          <w:p>
            <w:r/>
            <w:r>
              <w:rPr>
                <w:b/>
                <w:color w:val="FFFFFF"/>
                <w:sz w:val="17"/>
              </w:rPr>
              <w:t>Descripción</w:t>
            </w:r>
          </w:p>
        </w:tc>
        <w:tc>
          <w:tcPr>
            <w:tcW w:type="dxa" w:w="850"/>
            <w:shd w:val="clear" w:color="auto" w:fill="1F3A5F"/>
          </w:tcPr>
          <w:p>
            <w:r/>
            <w:r>
              <w:rPr>
                <w:b/>
                <w:color w:val="FFFFFF"/>
                <w:sz w:val="17"/>
              </w:rPr>
              <w:t>Horas</w:t>
            </w:r>
          </w:p>
        </w:tc>
        <w:tc>
          <w:tcPr>
            <w:tcW w:type="dxa" w:w="1701"/>
            <w:shd w:val="clear" w:color="auto" w:fill="1F3A5F"/>
          </w:tcPr>
          <w:p>
            <w:r/>
            <w:r>
              <w:rPr>
                <w:b/>
                <w:color w:val="FFFFFF"/>
                <w:sz w:val="17"/>
              </w:rPr>
              <w:t>Estado</w:t>
            </w:r>
          </w:p>
        </w:tc>
      </w:tr>
      <w:tr>
        <w:tc>
          <w:tcPr>
            <w:tcW w:type="dxa" w:w="850"/>
          </w:tcPr>
          <w:p>
            <w:r/>
            <w:r>
              <w:rPr>
                <w:sz w:val="17"/>
              </w:rPr>
              <w:t xml:space="preserve">T3.12</w:t>
            </w:r>
          </w:p>
        </w:tc>
        <w:tc>
          <w:tcPr>
            <w:tcW w:type="dxa" w:w="5953"/>
          </w:tcPr>
          <w:p>
            <w:r/>
            <w:r>
              <w:rPr>
                <w:sz w:val="17"/>
              </w:rPr>
              <w:t xml:space="preserve">Correcciones de la Fase 1 según las observaciones de la docente guía</w:t>
            </w:r>
          </w:p>
        </w:tc>
        <w:tc>
          <w:tcPr>
            <w:tcW w:type="dxa" w:w="850"/>
          </w:tcPr>
          <w:p>
            <w:r/>
            <w:r>
              <w:rPr>
                <w:sz w:val="17"/>
              </w:rPr>
              <w:t xml:space="preserve">3</w:t>
            </w:r>
          </w:p>
        </w:tc>
        <w:tc>
          <w:tcPr>
            <w:tcW w:type="dxa" w:w="1701"/>
          </w:tcPr>
          <w:p>
            <w:r/>
            <w:r>
              <w:rPr>
                <w:sz w:val="17"/>
              </w:rPr>
              <w:t xml:space="preserve">Hecho</w:t>
            </w:r>
          </w:p>
        </w:tc>
      </w:tr>
      <w:tr>
        <w:tc>
          <w:tcPr>
            <w:tcW w:type="dxa" w:w="850"/>
          </w:tcPr>
          <w:p>
            <w:r/>
            <w:r>
              <w:rPr>
                <w:sz w:val="17"/>
              </w:rPr>
              <w:t xml:space="preserve">T3.13</w:t>
            </w:r>
          </w:p>
        </w:tc>
        <w:tc>
          <w:tcPr>
            <w:tcW w:type="dxa" w:w="5953"/>
          </w:tcPr>
          <w:p>
            <w:r/>
            <w:r>
              <w:rPr>
                <w:sz w:val="17"/>
              </w:rPr>
              <w:t xml:space="preserve">Sprint Review, Retrospective y Release del sprint</w:t>
            </w:r>
          </w:p>
        </w:tc>
        <w:tc>
          <w:tcPr>
            <w:tcW w:type="dxa" w:w="850"/>
          </w:tcPr>
          <w:p>
            <w:r/>
            <w:r>
              <w:rPr>
                <w:sz w:val="17"/>
              </w:rPr>
              <w:t xml:space="preserve">3</w:t>
            </w:r>
          </w:p>
        </w:tc>
        <w:tc>
          <w:tcPr>
            <w:tcW w:type="dxa" w:w="1701"/>
          </w:tcPr>
          <w:p>
            <w:r/>
            <w:r>
              <w:rPr>
                <w:sz w:val="17"/>
              </w:rPr>
              <w:t xml:space="preserve">Hecho</w:t>
            </w:r>
          </w:p>
        </w:tc>
      </w:tr>
      <w:tr>
        <w:tc>
          <w:tcPr>
            <w:tcW w:type="dxa" w:w="850"/>
          </w:tcPr>
          <w:p>
            <w:r/>
            <w:r>
              <w:rPr>
                <w:sz w:val="17"/>
              </w:rPr>
              <w:t xml:space="preserve">T3.14</w:t>
            </w:r>
          </w:p>
        </w:tc>
        <w:tc>
          <w:tcPr>
            <w:tcW w:type="dxa" w:w="5953"/>
          </w:tcPr>
          <w:p>
            <w:r/>
            <w:r>
              <w:rPr>
                <w:sz w:val="17"/>
              </w:rPr>
              <w:t xml:space="preserve">Reconciliar _prisma_migrations con las migraciones aplicadas a mano (prisma migrate resolve)</w:t>
            </w:r>
          </w:p>
        </w:tc>
        <w:tc>
          <w:tcPr>
            <w:tcW w:type="dxa" w:w="850"/>
          </w:tcPr>
          <w:p>
            <w:r/>
            <w:r>
              <w:rPr>
                <w:sz w:val="17"/>
              </w:rPr>
              <w:t xml:space="preserve">2</w:t>
            </w:r>
          </w:p>
        </w:tc>
        <w:tc>
          <w:tcPr>
            <w:tcW w:type="dxa" w:w="1701"/>
          </w:tcPr>
          <w:p>
            <w:r/>
            <w:r>
              <w:rPr>
                <w:sz w:val="17"/>
              </w:rPr>
              <w:t xml:space="preserve">Hecho</w:t>
            </w:r>
          </w:p>
        </w:tc>
      </w:tr>
    </w:tbl>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07070"/>
        <w:sz w:val="16"/>
      </w:rPr>
      <w:t>EvangelicApp · Proyecto APT 2026-2 · S3-02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