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 xml:space="preserve">Release — v1.3.0 (Sprint 3)</w:t>
      </w:r>
    </w:p>
    <w:tbl>
      <w:tblPr>
        <w:tblStyle w:val="TableGrid"/>
        <w:tblW w:type="auto" w:w="0"/>
        <w:tblLook w:firstColumn="1" w:firstRow="1" w:lastColumn="0" w:lastRow="0" w:noHBand="0" w:noVBand="1" w:val="04A0"/>
      </w:tblPr>
      <w:tblGrid>
        <w:gridCol w:w="4873"/>
        <w:gridCol w:w="4873"/>
      </w:tblGrid>
      <w:tr>
        <w:tc>
          <w:tcPr>
            <w:tcW w:type="dxa" w:w="2268"/>
            <w:shd w:val="clear" w:color="auto" w:fill="E8EEF6"/>
          </w:tcPr>
          <w:p>
            <w:r>
              <w:rPr>
                <w:b/>
              </w:rPr>
              <w:t>Proyecto</w:t>
            </w:r>
          </w:p>
        </w:tc>
        <w:tc>
          <w:tcPr>
            <w:tcW w:type="dxa" w:w="7087"/>
          </w:tcPr>
          <w:p>
            <w:r>
              <w:t>EvangelicApp — Plataforma de gestión para iglesias evangélicas de Chile</w:t>
            </w:r>
          </w:p>
        </w:tc>
      </w:tr>
      <w:tr>
        <w:tc>
          <w:tcPr>
            <w:tcW w:type="dxa" w:w="2268"/>
            <w:shd w:val="clear" w:color="auto" w:fill="E8EEF6"/>
          </w:tcPr>
          <w:p>
            <w:r>
              <w:rPr>
                <w:b/>
              </w:rPr>
              <w:t>Documento</w:t>
            </w:r>
          </w:p>
        </w:tc>
        <w:tc>
          <w:tcPr>
            <w:tcW w:type="dxa" w:w="7087"/>
          </w:tcPr>
          <w:p>
            <w:r>
              <w:t xml:space="preserve">S3-06 — Release — v1.3.0 (Sprint 3)</w:t>
            </w:r>
          </w:p>
        </w:tc>
      </w:tr>
      <w:tr>
        <w:tc>
          <w:tcPr>
            <w:tcW w:type="dxa" w:w="2268"/>
            <w:shd w:val="clear" w:color="auto" w:fill="E8EEF6"/>
          </w:tcPr>
          <w:p>
            <w:r>
              <w:rPr>
                <w:b/>
              </w:rPr>
              <w:t>Marco de trabajo</w:t>
            </w:r>
          </w:p>
        </w:tc>
        <w:tc>
          <w:tcPr>
            <w:tcW w:type="dxa" w:w="7087"/>
          </w:tcPr>
          <w:p>
            <w:r>
              <w:t>Scrum</w:t>
            </w:r>
          </w:p>
        </w:tc>
      </w:tr>
      <w:tr>
        <w:tc>
          <w:tcPr>
            <w:tcW w:type="dxa" w:w="2268"/>
            <w:shd w:val="clear" w:color="auto" w:fill="E8EEF6"/>
          </w:tcPr>
          <w:p>
            <w:r>
              <w:rPr>
                <w:b/>
              </w:rPr>
              <w:t>Sprint / Fase</w:t>
            </w:r>
          </w:p>
        </w:tc>
        <w:tc>
          <w:tcPr>
            <w:tcW w:type="dxa" w:w="7087"/>
          </w:tcPr>
          <w:p>
            <w:r>
              <w:t xml:space="preserve">Sprint 3 · S9–S10</w:t>
            </w:r>
          </w:p>
        </w:tc>
      </w:tr>
      <w:tr>
        <w:tc>
          <w:tcPr>
            <w:tcW w:type="dxa" w:w="2268"/>
            <w:shd w:val="clear" w:color="auto" w:fill="E8EEF6"/>
          </w:tcPr>
          <w:p>
            <w:r>
              <w:rPr>
                <w:b/>
              </w:rPr>
              <w:t>Fecha</w:t>
            </w:r>
          </w:p>
        </w:tc>
        <w:tc>
          <w:tcPr>
            <w:tcW w:type="dxa" w:w="7087"/>
          </w:tcPr>
          <w:p>
            <w:r>
              <w:t xml:space="preserve">16-10-2026</w:t>
            </w:r>
          </w:p>
        </w:tc>
      </w:tr>
      <w:tr>
        <w:tc>
          <w:tcPr>
            <w:tcW w:type="dxa" w:w="2268"/>
            <w:shd w:val="clear" w:color="auto" w:fill="E8EEF6"/>
          </w:tcPr>
          <w:p>
            <w:r>
              <w:rPr>
                <w:b/>
              </w:rPr>
              <w:t>Versión</w:t>
            </w:r>
          </w:p>
        </w:tc>
        <w:tc>
          <w:tcPr>
            <w:tcW w:type="dxa" w:w="7087"/>
          </w:tcPr>
          <w:p>
            <w:r>
              <w:t xml:space="preserve">1.0</w:t>
            </w:r>
          </w:p>
        </w:tc>
      </w:tr>
      <w:tr>
        <w:tc>
          <w:tcPr>
            <w:tcW w:type="dxa" w:w="2268"/>
            <w:shd w:val="clear" w:color="auto" w:fill="E8EEF6"/>
          </w:tcPr>
          <w:p>
            <w:r>
              <w:rPr>
                <w:b/>
              </w:rPr>
              <w:t>Autor</w:t>
            </w:r>
          </w:p>
        </w:tc>
        <w:tc>
          <w:tcPr>
            <w:tcW w:type="dxa" w:w="7087"/>
          </w:tcPr>
          <w:p>
            <w:r>
              <w:t>Matías Cofré (Developer)</w:t>
            </w:r>
          </w:p>
        </w:tc>
      </w:tr>
    </w:tbl>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3A5F"/>
          </w:tcPr>
          <w:p>
            <w:r/>
            <w:r>
              <w:rPr>
                <w:b/>
                <w:color w:val="FFFFFF"/>
                <w:sz w:val="19"/>
              </w:rPr>
              <w:t>Dato</w:t>
            </w:r>
          </w:p>
        </w:tc>
        <w:tc>
          <w:tcPr>
            <w:tcW w:type="dxa" w:w="7087"/>
            <w:shd w:val="clear" w:color="auto" w:fill="1F3A5F"/>
          </w:tcPr>
          <w:p>
            <w:r/>
            <w:r>
              <w:rPr>
                <w:b/>
                <w:color w:val="FFFFFF"/>
                <w:sz w:val="19"/>
              </w:rPr>
              <w:t>Valor</w:t>
            </w:r>
          </w:p>
        </w:tc>
      </w:tr>
      <w:tr>
        <w:tc>
          <w:tcPr>
            <w:tcW w:type="dxa" w:w="2268"/>
          </w:tcPr>
          <w:p>
            <w:r/>
            <w:r>
              <w:rPr>
                <w:sz w:val="19"/>
              </w:rPr>
              <w:t xml:space="preserve">Versión</w:t>
            </w:r>
          </w:p>
        </w:tc>
        <w:tc>
          <w:tcPr>
            <w:tcW w:type="dxa" w:w="7087"/>
          </w:tcPr>
          <w:p>
            <w:r/>
            <w:r>
              <w:rPr>
                <w:sz w:val="19"/>
              </w:rPr>
              <w:t xml:space="preserve">1.3.0</w:t>
            </w:r>
          </w:p>
        </w:tc>
      </w:tr>
      <w:tr>
        <w:tc>
          <w:tcPr>
            <w:tcW w:type="dxa" w:w="2268"/>
          </w:tcPr>
          <w:p>
            <w:r/>
            <w:r>
              <w:rPr>
                <w:sz w:val="19"/>
              </w:rPr>
              <w:t xml:space="preserve">Fecha</w:t>
            </w:r>
          </w:p>
        </w:tc>
        <w:tc>
          <w:tcPr>
            <w:tcW w:type="dxa" w:w="7087"/>
          </w:tcPr>
          <w:p>
            <w:r/>
            <w:r>
              <w:rPr>
                <w:sz w:val="19"/>
              </w:rPr>
              <w:t xml:space="preserve">16-10-2026</w:t>
            </w:r>
          </w:p>
        </w:tc>
      </w:tr>
      <w:tr>
        <w:tc>
          <w:tcPr>
            <w:tcW w:type="dxa" w:w="2268"/>
          </w:tcPr>
          <w:p>
            <w:r/>
            <w:r>
              <w:rPr>
                <w:sz w:val="19"/>
              </w:rPr>
              <w:t xml:space="preserve">Ambientes</w:t>
            </w:r>
          </w:p>
        </w:tc>
        <w:tc>
          <w:tcPr>
            <w:tcW w:type="dxa" w:w="7087"/>
          </w:tcPr>
          <w:p>
            <w:r/>
            <w:r>
              <w:rPr>
                <w:sz w:val="19"/>
              </w:rPr>
              <w:t xml:space="preserve">Producción: backend en Render · frontend en Cloudflare Workers · base de datos, Storage y Auth en Supabase. Staging (nuevo): backend en Render sobre la rama staging · proyecto Supabase Backend-staging</w:t>
            </w:r>
          </w:p>
        </w:tc>
      </w:tr>
      <w:tr>
        <w:tc>
          <w:tcPr>
            <w:tcW w:type="dxa" w:w="2268"/>
          </w:tcPr>
          <w:p>
            <w:r/>
            <w:r>
              <w:rPr>
                <w:sz w:val="19"/>
              </w:rPr>
              <w:t xml:space="preserve">Rama</w:t>
            </w:r>
          </w:p>
        </w:tc>
        <w:tc>
          <w:tcPr>
            <w:tcW w:type="dxa" w:w="7087"/>
          </w:tcPr>
          <w:p>
            <w:r/>
            <w:r>
              <w:rPr>
                <w:sz w:val="19"/>
              </w:rPr>
              <w:t xml:space="preserve">main (producción) y staging (nueva, se despliega sola en el ambiente de staging)</w:t>
            </w:r>
          </w:p>
        </w:tc>
      </w:tr>
    </w:tbl>
    <w:p/>
    <w:p>
      <w:pPr>
        <w:pStyle w:val="Heading2"/>
      </w:pPr>
      <w:r>
        <w:t>Nuevas funcionalidades</w:t>
      </w:r>
    </w:p>
    <w:p>
      <w:pPr>
        <w:pStyle w:val="ListBullet"/>
      </w:pPr>
      <w:r>
        <w:t xml:space="preserve">Aislamiento multi-tenant también en la base de datos: Row Level Security en las 16 tablas con iglesiaId, con una policy tenant_isolation fail-closed (HU-18).</w:t>
      </w:r>
    </w:p>
    <w:p>
      <w:pPr>
        <w:pStyle w:val="ListBullet"/>
      </w:pPr>
      <w:r>
        <w:t xml:space="preserve">Ambiente de staging aislado de producción, con su propio proyecto de Supabase, su servicio en Render y el frontend en Cloudflare Workers (HU-27).</w:t>
      </w:r>
    </w:p>
    <w:p>
      <w:pPr>
        <w:pStyle w:val="ListBullet"/>
      </w:pPr>
      <w:r>
        <w:t xml:space="preserve">Rol MIEMBRO eliminado del sistema: los roles quedan en SUPER_ADMIN, MANAGER y USUARIO.</w:t>
      </w:r>
    </w:p>
    <w:p>
      <w:pPr>
        <w:pStyle w:val="ListBullet"/>
      </w:pPr>
      <w:r>
        <w:t xml:space="preserve">Casilla obligatoria de consentimiento (Ley 21.719) en el formulario público de registro por QR. No completa HU-12: el backend todavía no guarda la fecha de aceptación (ver Pendiente conocido).</w:t>
      </w:r>
    </w:p>
    <w:p>
      <w:pPr>
        <w:pStyle w:val="Heading2"/>
      </w:pPr>
      <w:r>
        <w:t>Mejoras técnicas</w:t>
      </w:r>
    </w:p>
    <w:p>
      <w:pPr>
        <w:pStyle w:val="ListBullet"/>
      </w:pPr>
      <w:r>
        <w:t xml:space="preserve">Contexto de tenant por request con AsyncLocalStorage, más un bypass explícito y acotado (runAsService) para el login, las rutas públicas por token y el cron.</w:t>
      </w:r>
    </w:p>
    <w:p>
      <w:pPr>
        <w:pStyle w:val="ListBullet"/>
      </w:pPr>
      <w:r>
        <w:t xml:space="preserve">PrismaService reescrito con $extends ($allOperations): cada consulta lleva su set_config dentro de la misma transacción, sin tocar los ~30 servicios que lo inyectan.</w:t>
      </w:r>
    </w:p>
    <w:p>
      <w:pPr>
        <w:pStyle w:val="ListBullet"/>
      </w:pPr>
      <w:r>
        <w:t xml:space="preserve">Rol de conexión app_runtime, sin BYPASSRLS, con privilegios por defecto para las tablas nuevas; funciones helper de RLS con search_path fijo.</w:t>
      </w:r>
    </w:p>
    <w:p>
      <w:pPr>
        <w:pStyle w:val="ListBullet"/>
      </w:pPr>
      <w:r>
        <w:t xml:space="preserve">Staging: build con NPM_CONFIG_PRODUCTION=false, 4 buckets de Storage, conexión por el pooler IPv4 y CORS con la URL real del frontend.</w:t>
      </w:r>
    </w:p>
    <w:p>
      <w:pPr>
        <w:pStyle w:val="ListBullet"/>
      </w:pPr>
      <w:r>
        <w:t xml:space="preserve">_prisma_migrations reconciliada con las migraciones aplicadas por MCP (prisma migrate resolve).</w:t>
      </w:r>
    </w:p>
    <w:p>
      <w:pPr>
        <w:pStyle w:val="Heading2"/>
      </w:pPr>
      <w:r>
        <w:t>Correcciones</w:t>
      </w:r>
    </w:p>
    <w:p>
      <w:pPr>
        <w:pStyle w:val="ListBullet"/>
      </w:pPr>
      <w:r>
        <w:t xml:space="preserve">El backend crasheaba al arrancar con el contexto de tenant conectado por $use («All elements of the array need to be Prisma Client promises»): se corrigió con $extends.</w:t>
      </w:r>
    </w:p>
    <w:p>
      <w:pPr>
        <w:pStyle w:val="ListBullet"/>
      </w:pPr>
      <w:r>
        <w:t xml:space="preserve">Con RLS activo, los usuarios USUARIO recibían 403 incluso en sus módulos delegados: JwtAuthGuard leía los accesos antes de cargar el contexto de tenant. Ahora se separan las consultas.</w:t>
      </w:r>
    </w:p>
    <w:p>
      <w:pPr>
        <w:pStyle w:val="Heading2"/>
      </w:pPr>
      <w:r>
        <w:t>Verificación (smoke test)</w:t>
      </w:r>
    </w:p>
    <w:tbl>
      <w:tblPr>
        <w:tblStyle w:val="TableGrid"/>
        <w:tblW w:type="auto" w:w="0"/>
        <w:jc w:val="center"/>
        <w:tblLook w:firstColumn="1" w:firstRow="1" w:lastColumn="0" w:lastRow="0" w:noHBand="0" w:noVBand="1" w:val="04A0"/>
      </w:tblPr>
      <w:tblGrid>
        <w:gridCol w:w="4873"/>
        <w:gridCol w:w="4873"/>
      </w:tblGrid>
      <w:tr>
        <w:tc>
          <w:tcPr>
            <w:tcW w:type="dxa" w:w="6236"/>
            <w:shd w:val="clear" w:color="auto" w:fill="1F3A5F"/>
          </w:tcPr>
          <w:p>
            <w:r/>
            <w:r>
              <w:rPr>
                <w:b/>
                <w:color w:val="FFFFFF"/>
                <w:sz w:val="19"/>
              </w:rPr>
              <w:t>Prueba</w:t>
            </w:r>
          </w:p>
        </w:tc>
        <w:tc>
          <w:tcPr>
            <w:tcW w:type="dxa" w:w="3118"/>
            <w:shd w:val="clear" w:color="auto" w:fill="1F3A5F"/>
          </w:tcPr>
          <w:p>
            <w:r/>
            <w:r>
              <w:rPr>
                <w:b/>
                <w:color w:val="FFFFFF"/>
                <w:sz w:val="19"/>
              </w:rPr>
              <w:t>Resultado</w:t>
            </w:r>
          </w:p>
        </w:tc>
      </w:tr>
      <w:tr>
        <w:tc>
          <w:tcPr>
            <w:tcW w:type="dxa" w:w="6236"/>
          </w:tcPr>
          <w:p>
            <w:r/>
            <w:r>
              <w:rPr>
                <w:sz w:val="19"/>
              </w:rPr>
              <w:t xml:space="preserve">SET ROLE app_runtime: un MANAGER solo ve su iglesia; el SUPER_ADMIN ve las 3; sin contexto, 0 filas</w:t>
            </w:r>
          </w:p>
        </w:tc>
        <w:tc>
          <w:tcPr>
            <w:tcW w:type="dxa" w:w="3118"/>
          </w:tcPr>
          <w:p>
            <w:r/>
            <w:r>
              <w:rPr>
                <w:sz w:val="19"/>
              </w:rPr>
              <w:t xml:space="preserve">OK</w:t>
            </w:r>
          </w:p>
        </w:tc>
      </w:tr>
      <w:tr>
        <w:tc>
          <w:tcPr>
            <w:tcW w:type="dxa" w:w="6236"/>
          </w:tcPr>
          <w:p>
            <w:r/>
            <w:r>
              <w:rPr>
                <w:sz w:val="19"/>
              </w:rPr>
              <w:t xml:space="preserve">Arranque del backend con el contexto en Prisma y smoke test HTTP con un MANAGER y con el SUPER_ADMIN</w:t>
            </w:r>
          </w:p>
        </w:tc>
        <w:tc>
          <w:tcPr>
            <w:tcW w:type="dxa" w:w="3118"/>
          </w:tcPr>
          <w:p>
            <w:r/>
            <w:r>
              <w:rPr>
                <w:sz w:val="19"/>
              </w:rPr>
              <w:t xml:space="preserve">OK</w:t>
            </w:r>
          </w:p>
        </w:tc>
      </w:tr>
      <w:tr>
        <w:tc>
          <w:tcPr>
            <w:tcW w:type="dxa" w:w="6236"/>
          </w:tcPr>
          <w:p>
            <w:r/>
            <w:r>
              <w:rPr>
                <w:sz w:val="19"/>
              </w:rPr>
              <w:t xml:space="preserve">Enum Rol sin MIEMBRO (0 usuarios tenían ese rol)</w:t>
            </w:r>
          </w:p>
        </w:tc>
        <w:tc>
          <w:tcPr>
            <w:tcW w:type="dxa" w:w="3118"/>
          </w:tcPr>
          <w:p>
            <w:r/>
            <w:r>
              <w:rPr>
                <w:sz w:val="19"/>
              </w:rPr>
              <w:t xml:space="preserve">OK</w:t>
            </w:r>
          </w:p>
        </w:tc>
      </w:tr>
      <w:tr>
        <w:tc>
          <w:tcPr>
            <w:tcW w:type="dxa" w:w="6236"/>
          </w:tcPr>
          <w:p>
            <w:r/>
            <w:r>
              <w:rPr>
                <w:sz w:val="19"/>
              </w:rPr>
              <w:t xml:space="preserve">Login real en staging conectado como app_runtime, con cookies Secure y SameSite=None</w:t>
            </w:r>
          </w:p>
        </w:tc>
        <w:tc>
          <w:tcPr>
            <w:tcW w:type="dxa" w:w="3118"/>
          </w:tcPr>
          <w:p>
            <w:r/>
            <w:r>
              <w:rPr>
                <w:sz w:val="19"/>
              </w:rPr>
              <w:t xml:space="preserve">OK</w:t>
            </w:r>
          </w:p>
        </w:tc>
      </w:tr>
      <w:tr>
        <w:tc>
          <w:tcPr>
            <w:tcW w:type="dxa" w:w="6236"/>
          </w:tcPr>
          <w:p>
            <w:r/>
            <w:r>
              <w:rPr>
                <w:sz w:val="19"/>
              </w:rPr>
              <w:t xml:space="preserve">Smoke test por rol en staging: USUARIO con acceso total, parcial y nulo a los módulos</w:t>
            </w:r>
          </w:p>
        </w:tc>
        <w:tc>
          <w:tcPr>
            <w:tcW w:type="dxa" w:w="3118"/>
          </w:tcPr>
          <w:p>
            <w:r/>
            <w:r>
              <w:rPr>
                <w:sz w:val="19"/>
              </w:rPr>
              <w:t xml:space="preserve">OK (200 / 403 según el módulo)</w:t>
            </w:r>
          </w:p>
        </w:tc>
      </w:tr>
      <w:tr>
        <w:tc>
          <w:tcPr>
            <w:tcW w:type="dxa" w:w="6236"/>
          </w:tcPr>
          <w:p>
            <w:r/>
            <w:r>
              <w:rPr>
                <w:sz w:val="19"/>
              </w:rPr>
              <w:t xml:space="preserve">prisma migrate status en staging, sin migraciones pendientes</w:t>
            </w:r>
          </w:p>
        </w:tc>
        <w:tc>
          <w:tcPr>
            <w:tcW w:type="dxa" w:w="3118"/>
          </w:tcPr>
          <w:p>
            <w:r/>
            <w:r>
              <w:rPr>
                <w:sz w:val="19"/>
              </w:rPr>
              <w:t xml:space="preserve">OK</w:t>
            </w:r>
          </w:p>
        </w:tc>
      </w:tr>
    </w:tbl>
    <w:p/>
    <w:p>
      <w:pPr>
        <w:pStyle w:val="Heading2"/>
      </w:pPr>
      <w:r>
        <w:t>Pendiente conocido</w:t>
      </w:r>
    </w:p>
    <w:p>
      <w:r>
        <w:rPr>
          <w:b w:val="0"/>
          <w:i w:val="0"/>
        </w:rPr>
        <w:t xml:space="preserve">HU-12 no entra en esta release como historia terminada: el consentimiento se exige en el formulario, pero el backend no guarda cuándo ni qué versión de la política aceptó cada integrante (vuelve al Product Backlog). En staging, las migraciones nuevas se aplican a mano porque falta configurar el Pre-Deploy Command de Render (IMP-14), y las cookies cross-site no funcionan en móviles ni en Safari hasta tener un dominio propio (IMP-15, HU-25 en el Sprint 5).</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07070"/>
        <w:sz w:val="16"/>
      </w:rPr>
      <w:t>EvangelicApp · Proyecto APT 2026-2 · S1-06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