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Impact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DOC-08 — Impact Mapping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(S4)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>02-09-2026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>El Impact Map conecta el objetivo de negocio del semestre con los actores que deben cambiar su comportamiento para lograrlo, el impacto esperado en cada uno y los entregables (historias de usuario) que lo provocan. Se usó para priorizar el Product Backlog: lo que no aporta a ningún impacto queda fuera del semestre.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42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Impact Map de EvangelicApp</w:t>
      </w:r>
    </w:p>
    <w:p>
      <w:pPr>
        <w:pStyle w:val="Heading2"/>
      </w:pPr>
      <w:r>
        <w:t>Trazabilidad entregable → historia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Historias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Sprint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 xml:space="preserve">Convocatoria por WhatsApp / Estado de convocatoria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HU-05, HU-06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Sprints 2 y 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 xml:space="preserve">Login con Supabase Auth / RLS multi-tenant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HU-17, HU-18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Sprints 2 y 3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 xml:space="preserve">Movimientos + auditoría / Export Excel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HU-08, HU-09, HU-10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Base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 xml:space="preserve">Registro QR + consentimiento / Asistencia en vivo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HU-12, HU-07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Sprints 3 y 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 xml:space="preserve">Recordatorios + historial de pagos / Dashboard de KPIs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HU-16, HU-15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 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 xml:space="preserve">Staging + QA / Pruebas k6 + producción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HU-27, HU-32, HU-29, HU-25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Sprints 3, 4 y 5</w:t>
            </w:r>
          </w:p>
        </w:tc>
      </w:tr>
    </w:tbl>
    <w:p/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02-09-2026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