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Burndown Chart — Sprint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S1-04 — Burndown Chart — Sprint 1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>Sprint 1 · S5–S6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17-09-2026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>1.0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 w:val="0"/>
        </w:rPr>
        <w:t xml:space="preserve">Trabajo total planificado: 56 h en 9 días hábiles (el 18-09 es feriado).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29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s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29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Horas de trabajo restantes al cierre de cada día hábil vs. línea ideal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</w:tblGrid>
      <w:tr>
        <w:tc>
          <w:tcPr>
            <w:tcW w:type="dxa" w:w="886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Día</w:t>
            </w:r>
          </w:p>
        </w:tc>
        <w:tc>
          <w:tcPr>
            <w:tcW w:type="dxa" w:w="886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Inicio</w:t>
            </w:r>
          </w:p>
        </w:tc>
        <w:tc>
          <w:tcPr>
            <w:tcW w:type="dxa" w:w="886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07-09</w:t>
            </w:r>
          </w:p>
        </w:tc>
        <w:tc>
          <w:tcPr>
            <w:tcW w:type="dxa" w:w="886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08-09</w:t>
            </w:r>
          </w:p>
        </w:tc>
        <w:tc>
          <w:tcPr>
            <w:tcW w:type="dxa" w:w="886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09-09</w:t>
            </w:r>
          </w:p>
        </w:tc>
        <w:tc>
          <w:tcPr>
            <w:tcW w:type="dxa" w:w="886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10-09</w:t>
            </w:r>
          </w:p>
        </w:tc>
        <w:tc>
          <w:tcPr>
            <w:tcW w:type="dxa" w:w="886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11-09</w:t>
            </w:r>
          </w:p>
        </w:tc>
        <w:tc>
          <w:tcPr>
            <w:tcW w:type="dxa" w:w="886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14-09</w:t>
            </w:r>
          </w:p>
        </w:tc>
        <w:tc>
          <w:tcPr>
            <w:tcW w:type="dxa" w:w="886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15-09</w:t>
            </w:r>
          </w:p>
        </w:tc>
        <w:tc>
          <w:tcPr>
            <w:tcW w:type="dxa" w:w="886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16-09</w:t>
            </w:r>
          </w:p>
        </w:tc>
        <w:tc>
          <w:tcPr>
            <w:tcW w:type="dxa" w:w="886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17-09</w:t>
            </w:r>
          </w:p>
        </w:tc>
      </w:tr>
      <w:tr>
        <w:tc>
          <w:tcPr>
            <w:tcW w:type="dxa" w:w="886"/>
          </w:tcPr>
          <w:p>
            <w:r/>
            <w:r>
              <w:rPr>
                <w:sz w:val="15"/>
              </w:rPr>
              <w:t xml:space="preserve">Horas restantes</w:t>
            </w:r>
          </w:p>
        </w:tc>
        <w:tc>
          <w:tcPr>
            <w:tcW w:type="dxa" w:w="886"/>
          </w:tcPr>
          <w:p>
            <w:r/>
            <w:r>
              <w:rPr>
                <w:sz w:val="15"/>
              </w:rPr>
              <w:t xml:space="preserve">56</w:t>
            </w:r>
          </w:p>
        </w:tc>
        <w:tc>
          <w:tcPr>
            <w:tcW w:type="dxa" w:w="886"/>
          </w:tcPr>
          <w:p>
            <w:r/>
            <w:r>
              <w:rPr>
                <w:sz w:val="15"/>
              </w:rPr>
              <w:t xml:space="preserve">53</w:t>
            </w:r>
          </w:p>
        </w:tc>
        <w:tc>
          <w:tcPr>
            <w:tcW w:type="dxa" w:w="886"/>
          </w:tcPr>
          <w:p>
            <w:r/>
            <w:r>
              <w:rPr>
                <w:sz w:val="15"/>
              </w:rPr>
              <w:t xml:space="preserve">48</w:t>
            </w:r>
          </w:p>
        </w:tc>
        <w:tc>
          <w:tcPr>
            <w:tcW w:type="dxa" w:w="886"/>
          </w:tcPr>
          <w:p>
            <w:r/>
            <w:r>
              <w:rPr>
                <w:sz w:val="15"/>
              </w:rPr>
              <w:t xml:space="preserve">45</w:t>
            </w:r>
          </w:p>
        </w:tc>
        <w:tc>
          <w:tcPr>
            <w:tcW w:type="dxa" w:w="886"/>
          </w:tcPr>
          <w:p>
            <w:r/>
            <w:r>
              <w:rPr>
                <w:sz w:val="15"/>
              </w:rPr>
              <w:t xml:space="preserve">37</w:t>
            </w:r>
          </w:p>
        </w:tc>
        <w:tc>
          <w:tcPr>
            <w:tcW w:type="dxa" w:w="886"/>
          </w:tcPr>
          <w:p>
            <w:r/>
            <w:r>
              <w:rPr>
                <w:sz w:val="15"/>
              </w:rPr>
              <w:t xml:space="preserve">32</w:t>
            </w:r>
          </w:p>
        </w:tc>
        <w:tc>
          <w:tcPr>
            <w:tcW w:type="dxa" w:w="886"/>
          </w:tcPr>
          <w:p>
            <w:r/>
            <w:r>
              <w:rPr>
                <w:sz w:val="15"/>
              </w:rPr>
              <w:t xml:space="preserve">25</w:t>
            </w:r>
          </w:p>
        </w:tc>
        <w:tc>
          <w:tcPr>
            <w:tcW w:type="dxa" w:w="886"/>
          </w:tcPr>
          <w:p>
            <w:r/>
            <w:r>
              <w:rPr>
                <w:sz w:val="15"/>
              </w:rPr>
              <w:t xml:space="preserve">18</w:t>
            </w:r>
          </w:p>
        </w:tc>
        <w:tc>
          <w:tcPr>
            <w:tcW w:type="dxa" w:w="886"/>
          </w:tcPr>
          <w:p>
            <w:r/>
            <w:r>
              <w:rPr>
                <w:sz w:val="15"/>
              </w:rPr>
              <w:t xml:space="preserve">9</w:t>
            </w:r>
          </w:p>
        </w:tc>
        <w:tc>
          <w:tcPr>
            <w:tcW w:type="dxa" w:w="886"/>
          </w:tcPr>
          <w:p>
            <w:r/>
            <w:r>
              <w:rPr>
                <w:sz w:val="15"/>
              </w:rPr>
              <w:t xml:space="preserve">0</w:t>
            </w:r>
          </w:p>
        </w:tc>
      </w:tr>
    </w:tbl>
    <w:p/>
    <w:p>
      <w:pPr>
        <w:pStyle w:val="Heading2"/>
      </w:pPr>
      <w:r>
        <w:t>Análisis</w:t>
      </w:r>
    </w:p>
    <w:p>
      <w:pPr>
        <w:pStyle w:val="ListBullet"/>
      </w:pPr>
      <w:r>
        <w:t xml:space="preserve">El sprint estuvo sobre la línea ideal casi todo el tiempo: el cron de recordatorios (T1.4) tomó dos días porque los envíos de prueba a Resend eran rechazados (IMP-01).</w:t>
      </w:r>
    </w:p>
    <w:p>
      <w:pPr>
        <w:pStyle w:val="ListBullet"/>
      </w:pPr>
      <w:r>
        <w:t xml:space="preserve">El 10-09 se recuperó terreno (T1.4, T1.5 y el diagrama de arquitectura), pero la segunda semana fue corta por Fiestas Patrias.</w:t>
      </w:r>
    </w:p>
    <w:p>
      <w:pPr>
        <w:pStyle w:val="ListBullet"/>
      </w:pPr>
      <w:r>
        <w:t xml:space="preserve">El tiempo real (HU-26) se dejó al final a propósito y se cerró el último día junto con la Review y la Retrospective.</w:t>
      </w:r>
    </w:p>
    <w:p>
      <w:pPr>
        <w:pStyle w:val="ListBullet"/>
      </w:pPr>
      <w:r>
        <w:t xml:space="preserve">Velocidad del sprint: 26 de 26 puntos comprometidos (100%).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S1-04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