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Scrumboard —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S3-03 — Scrumboard — Sprint 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3 · S9–S10 (en curso)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Fotografía del tablero al cierre del 08-10-2026 (día 4 de 10 del sprint).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Por hacer (8)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En progreso (2)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</w:rPr>
              <w:t xml:space="preserve">Hecho (4)</w:t>
            </w:r>
          </w:p>
        </w:tc>
      </w:tr>
      <w:tr>
        <w:tc>
          <w:tcPr>
            <w:tcW w:type="dxa" w:w="3118"/>
            <w:shd w:val="clear" w:color="auto" w:fill="F1F2F4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[T3.6 · HU-12] </w:t>
            </w:r>
            <w:r>
              <w:rPr>
                <w:sz w:val="17"/>
              </w:rPr>
              <w:t xml:space="preserve">Eliminar el rol MIEMBRO del sistema (migración del enum Rol) (2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[T3.7 · HU-12] </w:t>
            </w:r>
            <w:r>
              <w:rPr>
                <w:sz w:val="17"/>
              </w:rPr>
              <w:t xml:space="preserve">Consentimiento Ley 21.719 en el registro por QR: contrato y brief para el frontend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[T3.8 · HU-27] </w:t>
            </w:r>
            <w:r>
              <w:rPr>
                <w:sz w:val="17"/>
              </w:rPr>
              <w:t xml:space="preserve">Proyecto Supabase de staging (Backend-staging) con el rol app_runtime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[T3.9 · HU-27] </w:t>
            </w:r>
            <w:r>
              <w:rPr>
                <w:sz w:val="17"/>
              </w:rPr>
              <w:t xml:space="preserve">Backend de staging en Render: rama staging, migraciones en pre-deploy y DATABASE_URL como app_runtime (7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[T3.10 · HU-27] </w:t>
            </w:r>
            <w:r>
              <w:rPr>
                <w:sz w:val="17"/>
              </w:rPr>
              <w:t xml:space="preserve">CORS y cookies cross-site entre el frontend y el backend de staging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[T3.11 · HU-18] </w:t>
            </w:r>
            <w:r>
              <w:rPr>
                <w:sz w:val="17"/>
              </w:rPr>
              <w:t xml:space="preserve">Smoke test de RLS en staging con cada rol (SUPER_ADMIN, MANAGER y USUARIO)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[T3.13 · —] </w:t>
            </w:r>
            <w:r>
              <w:rPr>
                <w:sz w:val="17"/>
              </w:rPr>
              <w:t xml:space="preserve">Sprint Review, Retrospective y Release del sprint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[T3.14 · —] </w:t>
            </w:r>
            <w:r>
              <w:rPr>
                <w:sz w:val="17"/>
              </w:rPr>
              <w:t xml:space="preserve">Reconciliar _prisma_migrations con las migraciones aplicadas a mano (prisma migrate resolve) (2 h)</w:t>
            </w:r>
          </w:p>
        </w:tc>
        <w:tc>
          <w:tcPr>
            <w:tcW w:type="dxa" w:w="3118"/>
            <w:shd w:val="clear" w:color="auto" w:fill="FBEBDD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[T3.4 · HU-18] </w:t>
            </w:r>
            <w:r>
              <w:rPr>
                <w:sz w:val="17"/>
              </w:rPr>
              <w:t xml:space="preserve">Conectar el contexto de tenant a Prisma (set_config en cada consulta)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[T3.5 · HU-18] </w:t>
            </w:r>
            <w:r>
              <w:rPr>
                <w:sz w:val="17"/>
              </w:rPr>
              <w:t xml:space="preserve">Verificación de RLS: SQL con SET ROLE app_runtime y smoke test HTTP (4 h)</w:t>
            </w:r>
          </w:p>
        </w:tc>
        <w:tc>
          <w:tcPr>
            <w:tcW w:type="dxa" w:w="3118"/>
            <w:shd w:val="clear" w:color="auto" w:fill="E7F0E1"/>
          </w:tcPr>
          <w:p>
            <w:pPr>
              <w:spacing w:after="100"/>
            </w:pPr>
            <w:r>
              <w:rPr>
                <w:b/>
                <w:sz w:val="17"/>
              </w:rPr>
              <w:t xml:space="preserve">[T3.1 · HU-18] </w:t>
            </w:r>
            <w:r>
              <w:rPr>
                <w:sz w:val="17"/>
              </w:rPr>
              <w:t xml:space="preserve">Diseño de RLS con Prisma (una sola conexión compartida) y rol app_runtime sin BYPASSRLS (3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[T3.2 · HU-18] </w:t>
            </w:r>
            <w:r>
              <w:rPr>
                <w:sz w:val="17"/>
              </w:rPr>
              <w:t xml:space="preserve">Contexto de tenant por request (AsyncLocalStorage + middleware) y bypass acotado (runAsService) (5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[T3.3 · HU-18] </w:t>
            </w:r>
            <w:r>
              <w:rPr>
                <w:sz w:val="17"/>
              </w:rPr>
              <w:t xml:space="preserve">Migración RLS: ENABLE + FORCE y policy tenant_isolation en 16 tablas, con funciones helper (7 h)</w:t>
            </w:r>
          </w:p>
          <w:p>
            <w:pPr>
              <w:spacing w:after="100"/>
            </w:pPr>
            <w:r>
              <w:rPr>
                <w:b/>
                <w:sz w:val="17"/>
              </w:rPr>
              <w:t xml:space="preserve">[T3.12 · —] </w:t>
            </w:r>
            <w:r>
              <w:rPr>
                <w:sz w:val="17"/>
              </w:rPr>
              <w:t xml:space="preserve">Correcciones de la Fase 1 según las observaciones de la docente guía (3 h)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S3-03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