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Burndown Chart — Sprint 3 (parcial)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S3-04 — Burndown Chart — Sprint 3 (parcial)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Trabajo total planificado: 55 h en 10 días hábiles. Gráfico actualizado al cierre del 08-10-2026.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Horas de trabajo restantes al cierre de cada día hábil vs. línea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Día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Inicio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05-10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06-10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07-10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08-10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09-10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12-10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13-10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14-10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15-10</w:t>
            </w:r>
          </w:p>
        </w:tc>
        <w:tc>
          <w:tcPr>
            <w:tcW w:type="dxa" w:w="81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 xml:space="preserve">16-10</w:t>
            </w:r>
          </w:p>
        </w:tc>
      </w:tr>
      <w:tr>
        <w:tc>
          <w:tcPr>
            <w:tcW w:type="dxa" w:w="812"/>
          </w:tcPr>
          <w:p>
            <w:r/>
            <w:r>
              <w:rPr>
                <w:sz w:val="15"/>
              </w:rPr>
              <w:t xml:space="preserve">Horas restantes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55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53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46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38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>33</w:t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  <w:tc>
          <w:tcPr>
            <w:tcW w:type="dxa" w:w="812"/>
          </w:tcPr>
          <w:p>
            <w:r/>
            <w:r>
              <w:rPr>
                <w:sz w:val="15"/>
              </w:rPr>
              <w:t xml:space="preserve"/>
            </w:r>
          </w:p>
        </w:tc>
      </w:tr>
    </w:tbl>
    <w:p/>
    <w:p>
      <w:pPr>
        <w:pStyle w:val="Heading2"/>
      </w:pPr>
      <w:r>
        <w:t>Análisis</w:t>
      </w:r>
    </w:p>
    <w:p>
      <w:pPr>
        <w:pStyle w:val="ListBullet"/>
      </w:pPr>
      <w:r>
        <w:t xml:space="preserve">A día 4 quedan 33 h, justo en la línea ideal (33 h).</w:t>
      </w:r>
    </w:p>
    <w:p>
      <w:pPr>
        <w:pStyle w:val="ListBullet"/>
      </w:pPr>
      <w:r>
        <w:t xml:space="preserve">El día 1 se quemaron solo 2 h porque fue el día de la Sprint Planning y de la lectura de las observaciones de la docente guía.</w:t>
      </w:r>
    </w:p>
    <w:p>
      <w:pPr>
        <w:pStyle w:val="ListBullet"/>
      </w:pPr>
      <w:r>
        <w:t xml:space="preserve">Los días 2 y 3 se quemó sobre el ideal (7 y 8 h): el diseño de RLS se resolvió temprano con el rol app_runtime, y la migración y su verificación SQL salieron sin retrabajo.</w:t>
      </w:r>
    </w:p>
    <w:p>
      <w:pPr>
        <w:pStyle w:val="ListBullet"/>
      </w:pPr>
      <w:r>
        <w:t xml:space="preserve">Riesgo para la segunda mitad: IMP-11 (sin conectividad directa a la base) e IMP-12 (Render sigue conectando como postgres) pueden frenar el smoke test HTTP y staging.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S3-04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