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F3CA33" w14:textId="7234A085" w:rsidR="009670E4" w:rsidRDefault="009670E4" w:rsidP="009670E4">
      <w:pPr>
        <w:spacing w:after="0"/>
        <w:jc w:val="center"/>
        <w:rPr>
          <w:rFonts w:ascii="Calibri" w:hAnsi="Calibri" w:cs="Calibri"/>
          <w:b/>
          <w:color w:val="000000" w:themeColor="text1"/>
          <w:sz w:val="28"/>
          <w:szCs w:val="16"/>
          <w:u w:val="single"/>
        </w:rPr>
      </w:pPr>
      <w:r>
        <w:fldChar w:fldCharType="begin"/>
      </w:r>
      <w:r>
        <w:instrText xml:space="preserve"> INCLUDEPICTURE "https://upload.wikimedia.org/wikipedia/commons/c/c4/FRBNY_logo.png" \* MERGEFORMATINET </w:instrText>
      </w:r>
      <w:r>
        <w:fldChar w:fldCharType="separate"/>
      </w:r>
      <w:r>
        <w:fldChar w:fldCharType="end"/>
      </w:r>
      <w:r>
        <w:t xml:space="preserve"> </w:t>
      </w:r>
      <w:r w:rsidRPr="00EA628C">
        <w:t xml:space="preserve"> </w:t>
      </w:r>
      <w:r>
        <w:fldChar w:fldCharType="begin"/>
      </w:r>
      <w:r>
        <w:instrText xml:space="preserve"> INCLUDEPICTURE "https://upload.wikimedia.org/wikipedia/commons/thumb/3/3e/IMF-Seal_ENG_RGB.svg/1280px-IMF-Seal_ENG_RGB.svg.png" \* MERGEFORMATINET </w:instrText>
      </w:r>
      <w:r>
        <w:fldChar w:fldCharType="separate"/>
      </w:r>
      <w:r>
        <w:fldChar w:fldCharType="end"/>
      </w:r>
      <w:r w:rsidRPr="00EA628C">
        <w:t xml:space="preserve"> </w:t>
      </w:r>
      <w:r w:rsidRPr="00EA628C">
        <w:rPr>
          <w:rFonts w:ascii="Calibri" w:hAnsi="Calibri" w:cs="Calibri"/>
          <w:b/>
          <w:color w:val="000000" w:themeColor="text1"/>
          <w:sz w:val="28"/>
          <w:szCs w:val="16"/>
          <w:u w:val="single"/>
        </w:rPr>
        <w:t>US–MENA PRIVATE SECTOR DIALOGUE (PSD) 2026</w:t>
      </w:r>
    </w:p>
    <w:p w14:paraId="43158C4D" w14:textId="12D9E363" w:rsidR="009670E4" w:rsidRDefault="009670E4" w:rsidP="009670E4">
      <w:pPr>
        <w:spacing w:after="0"/>
        <w:jc w:val="center"/>
        <w:rPr>
          <w:rFonts w:ascii="Calibri" w:hAnsi="Calibri" w:cs="Calibri"/>
          <w:b/>
          <w:color w:val="000000" w:themeColor="text1"/>
          <w:sz w:val="28"/>
          <w:szCs w:val="16"/>
          <w:u w:val="single"/>
        </w:rPr>
      </w:pPr>
    </w:p>
    <w:p w14:paraId="43CDAAB1" w14:textId="67FF0DFE" w:rsidR="009670E4" w:rsidRDefault="009670E4" w:rsidP="009670E4">
      <w:pPr>
        <w:spacing w:after="0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71B05AB" wp14:editId="7B87CDA7">
            <wp:simplePos x="0" y="0"/>
            <wp:positionH relativeFrom="column">
              <wp:posOffset>1049387</wp:posOffset>
            </wp:positionH>
            <wp:positionV relativeFrom="paragraph">
              <wp:posOffset>74329</wp:posOffset>
            </wp:positionV>
            <wp:extent cx="1676400" cy="1676400"/>
            <wp:effectExtent l="0" t="0" r="0" b="0"/>
            <wp:wrapThrough wrapText="bothSides">
              <wp:wrapPolygon edited="0">
                <wp:start x="9327" y="1636"/>
                <wp:lineTo x="7855" y="2127"/>
                <wp:lineTo x="4255" y="4091"/>
                <wp:lineTo x="3436" y="5564"/>
                <wp:lineTo x="2455" y="7036"/>
                <wp:lineTo x="1964" y="9000"/>
                <wp:lineTo x="2291" y="9655"/>
                <wp:lineTo x="1636" y="10800"/>
                <wp:lineTo x="1800" y="12436"/>
                <wp:lineTo x="2618" y="15055"/>
                <wp:lineTo x="5073" y="18000"/>
                <wp:lineTo x="8345" y="19473"/>
                <wp:lineTo x="9164" y="19800"/>
                <wp:lineTo x="12109" y="19800"/>
                <wp:lineTo x="13582" y="19309"/>
                <wp:lineTo x="16036" y="18000"/>
                <wp:lineTo x="15873" y="17673"/>
                <wp:lineTo x="17673" y="16691"/>
                <wp:lineTo x="18491" y="15055"/>
                <wp:lineTo x="19636" y="13255"/>
                <wp:lineTo x="19473" y="10473"/>
                <wp:lineTo x="18818" y="9818"/>
                <wp:lineTo x="19473" y="9818"/>
                <wp:lineTo x="19473" y="8673"/>
                <wp:lineTo x="18982" y="7200"/>
                <wp:lineTo x="18000" y="5400"/>
                <wp:lineTo x="17345" y="4582"/>
                <wp:lineTo x="17509" y="3927"/>
                <wp:lineTo x="13418" y="2127"/>
                <wp:lineTo x="11618" y="1636"/>
                <wp:lineTo x="9327" y="1636"/>
              </wp:wrapPolygon>
            </wp:wrapThrough>
            <wp:docPr id="777465193" name="Picture 2" descr="International Monetary Fund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rnational Monetary Fund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"https://www.fatf-gafi.org/en/countries/global-network/middle-east-and-north-africa-financial-action-task-force--menafa.coreimg.png/structure/jcr%3Acontent/root/container_2070221031/image/1682516288368/mena-fatf-logo-new.png" \* MERGEFORMATINET </w:instrText>
      </w:r>
      <w:r>
        <w:fldChar w:fldCharType="separate"/>
      </w:r>
      <w:r>
        <w:fldChar w:fldCharType="end"/>
      </w:r>
    </w:p>
    <w:p w14:paraId="441A2D4E" w14:textId="77777777" w:rsidR="009670E4" w:rsidRDefault="009670E4" w:rsidP="009670E4">
      <w:pPr>
        <w:spacing w:after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8CF18A" wp14:editId="1B1B1E57">
            <wp:simplePos x="0" y="0"/>
            <wp:positionH relativeFrom="column">
              <wp:posOffset>-240665</wp:posOffset>
            </wp:positionH>
            <wp:positionV relativeFrom="paragraph">
              <wp:posOffset>62230</wp:posOffset>
            </wp:positionV>
            <wp:extent cx="1347470" cy="1339850"/>
            <wp:effectExtent l="0" t="0" r="0" b="6350"/>
            <wp:wrapThrough wrapText="bothSides">
              <wp:wrapPolygon edited="0">
                <wp:start x="7940" y="0"/>
                <wp:lineTo x="6107" y="614"/>
                <wp:lineTo x="2443" y="2866"/>
                <wp:lineTo x="1221" y="5118"/>
                <wp:lineTo x="204" y="6552"/>
                <wp:lineTo x="0" y="8599"/>
                <wp:lineTo x="0" y="13513"/>
                <wp:lineTo x="1018" y="16379"/>
                <wp:lineTo x="3868" y="19655"/>
                <wp:lineTo x="4886" y="21498"/>
                <wp:lineTo x="5090" y="21498"/>
                <wp:lineTo x="16287" y="21498"/>
                <wp:lineTo x="16490" y="21498"/>
                <wp:lineTo x="17508" y="19655"/>
                <wp:lineTo x="20358" y="16379"/>
                <wp:lineTo x="21376" y="13103"/>
                <wp:lineTo x="21376" y="8599"/>
                <wp:lineTo x="20969" y="6552"/>
                <wp:lineTo x="19137" y="2866"/>
                <wp:lineTo x="15065" y="614"/>
                <wp:lineTo x="13233" y="0"/>
                <wp:lineTo x="7940" y="0"/>
              </wp:wrapPolygon>
            </wp:wrapThrough>
            <wp:docPr id="941592968" name="Picture 1" descr="Federal Reserve Bank of New York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deral Reserve Bank of New York - Wikipe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47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48DD7B" w14:textId="77777777" w:rsidR="009670E4" w:rsidRDefault="009670E4" w:rsidP="009670E4">
      <w:pPr>
        <w:spacing w:after="0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A67B5F6" wp14:editId="77BC8DB5">
            <wp:simplePos x="0" y="0"/>
            <wp:positionH relativeFrom="column">
              <wp:posOffset>4489249</wp:posOffset>
            </wp:positionH>
            <wp:positionV relativeFrom="paragraph">
              <wp:posOffset>153236</wp:posOffset>
            </wp:positionV>
            <wp:extent cx="1917700" cy="913765"/>
            <wp:effectExtent l="0" t="0" r="0" b="0"/>
            <wp:wrapThrough wrapText="bothSides">
              <wp:wrapPolygon edited="0">
                <wp:start x="4434" y="2101"/>
                <wp:lineTo x="2146" y="3603"/>
                <wp:lineTo x="1001" y="5104"/>
                <wp:lineTo x="1001" y="8106"/>
                <wp:lineTo x="1574" y="12309"/>
                <wp:lineTo x="1144" y="12609"/>
                <wp:lineTo x="1144" y="15311"/>
                <wp:lineTo x="1287" y="17712"/>
                <wp:lineTo x="9870" y="17712"/>
                <wp:lineTo x="10013" y="17112"/>
                <wp:lineTo x="18739" y="12309"/>
                <wp:lineTo x="19740" y="12309"/>
                <wp:lineTo x="20742" y="9607"/>
                <wp:lineTo x="20885" y="5704"/>
                <wp:lineTo x="8011" y="2101"/>
                <wp:lineTo x="4434" y="2101"/>
              </wp:wrapPolygon>
            </wp:wrapThrough>
            <wp:docPr id="860569671" name="Picture 4" descr="Middle East and North Africa Financial Action Task Force (MENAFATF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iddle East and North Africa Financial Action Task Force (MENAFATF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79555D0" wp14:editId="5709C62E">
            <wp:simplePos x="0" y="0"/>
            <wp:positionH relativeFrom="column">
              <wp:posOffset>2784675</wp:posOffset>
            </wp:positionH>
            <wp:positionV relativeFrom="paragraph">
              <wp:posOffset>76835</wp:posOffset>
            </wp:positionV>
            <wp:extent cx="1642110" cy="989965"/>
            <wp:effectExtent l="0" t="0" r="0" b="0"/>
            <wp:wrapThrough wrapText="bothSides">
              <wp:wrapPolygon edited="0">
                <wp:start x="8353" y="277"/>
                <wp:lineTo x="6849" y="1663"/>
                <wp:lineTo x="5179" y="3879"/>
                <wp:lineTo x="5179" y="6650"/>
                <wp:lineTo x="5847" y="9699"/>
                <wp:lineTo x="1503" y="11915"/>
                <wp:lineTo x="167" y="12747"/>
                <wp:lineTo x="0" y="14963"/>
                <wp:lineTo x="0" y="18566"/>
                <wp:lineTo x="501" y="20783"/>
                <wp:lineTo x="21216" y="20783"/>
                <wp:lineTo x="21383" y="18566"/>
                <wp:lineTo x="21383" y="12470"/>
                <wp:lineTo x="20715" y="11915"/>
                <wp:lineTo x="15536" y="9699"/>
                <wp:lineTo x="16371" y="6650"/>
                <wp:lineTo x="16371" y="4157"/>
                <wp:lineTo x="14534" y="1663"/>
                <wp:lineTo x="13197" y="277"/>
                <wp:lineTo x="8353" y="277"/>
              </wp:wrapPolygon>
            </wp:wrapThrough>
            <wp:docPr id="1133550663" name="Picture 5" descr="Union of Arab Ba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ion of Arab Bank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110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6590D8" w14:textId="77777777" w:rsidR="009670E4" w:rsidRDefault="009670E4" w:rsidP="009670E4">
      <w:pPr>
        <w:spacing w:after="0"/>
        <w:jc w:val="center"/>
      </w:pPr>
    </w:p>
    <w:p w14:paraId="5472B484" w14:textId="77777777" w:rsidR="009670E4" w:rsidRDefault="009670E4" w:rsidP="009670E4">
      <w:pPr>
        <w:spacing w:after="0"/>
        <w:jc w:val="center"/>
      </w:pPr>
    </w:p>
    <w:p w14:paraId="0C2BDEAB" w14:textId="77777777" w:rsidR="009670E4" w:rsidRDefault="009670E4" w:rsidP="009670E4">
      <w:pPr>
        <w:spacing w:after="0"/>
      </w:pPr>
      <w:r>
        <w:fldChar w:fldCharType="begin"/>
      </w:r>
      <w:r>
        <w:instrText xml:space="preserve"> INCLUDEPICTURE "https://uabonline.org/wp-content/uploads/2025/08/UAB-logo-Blue.png" \* MERGEFORMATINET </w:instrText>
      </w:r>
      <w:r>
        <w:fldChar w:fldCharType="separate"/>
      </w:r>
      <w:r>
        <w:fldChar w:fldCharType="end"/>
      </w:r>
    </w:p>
    <w:p w14:paraId="0A0A0C1C" w14:textId="2CA3670D" w:rsidR="009670E4" w:rsidRDefault="009670E4" w:rsidP="009670E4">
      <w:pPr>
        <w:spacing w:after="0"/>
        <w:jc w:val="center"/>
      </w:pPr>
      <w:r>
        <w:t>------------------------------------------------------------------------------------------------------------------</w:t>
      </w:r>
    </w:p>
    <w:p w14:paraId="3E7F3450" w14:textId="77777777" w:rsidR="009670E4" w:rsidRPr="00EA628C" w:rsidRDefault="009670E4" w:rsidP="009670E4">
      <w:pPr>
        <w:spacing w:after="0"/>
        <w:jc w:val="center"/>
        <w:rPr>
          <w:color w:val="EE0000"/>
          <w:sz w:val="28"/>
          <w:szCs w:val="40"/>
        </w:rPr>
      </w:pPr>
      <w:r w:rsidRPr="00EA628C">
        <w:rPr>
          <w:color w:val="EE0000"/>
          <w:sz w:val="28"/>
          <w:szCs w:val="40"/>
        </w:rPr>
        <w:t>With the Participation of the U.S. Department of Treasury</w:t>
      </w:r>
    </w:p>
    <w:p w14:paraId="3106A5FF" w14:textId="13B51699" w:rsidR="009670E4" w:rsidRPr="00EA628C" w:rsidRDefault="009670E4" w:rsidP="009670E4">
      <w:pPr>
        <w:spacing w:after="0"/>
        <w:jc w:val="center"/>
        <w:rPr>
          <w:rFonts w:ascii="Aptos" w:hAnsi="Aptos"/>
          <w:sz w:val="19"/>
        </w:rPr>
      </w:pPr>
      <w:r>
        <w:t>------------------------------------------------------------------------------------------------------------------</w:t>
      </w:r>
    </w:p>
    <w:p w14:paraId="4AE663E7" w14:textId="77777777" w:rsidR="009670E4" w:rsidRDefault="009670E4" w:rsidP="009670E4">
      <w:pPr>
        <w:spacing w:after="0"/>
        <w:jc w:val="center"/>
        <w:rPr>
          <w:rFonts w:ascii="Calibri" w:hAnsi="Calibri" w:cs="Calibri"/>
          <w:b/>
          <w:color w:val="000000" w:themeColor="text1"/>
          <w:sz w:val="28"/>
          <w:szCs w:val="16"/>
        </w:rPr>
      </w:pPr>
    </w:p>
    <w:p w14:paraId="6DB0A84D" w14:textId="24DCEFC0" w:rsidR="009670E4" w:rsidRPr="00EA628C" w:rsidRDefault="009670E4" w:rsidP="009670E4">
      <w:pPr>
        <w:spacing w:after="0"/>
        <w:jc w:val="center"/>
        <w:rPr>
          <w:rFonts w:ascii="Calibri" w:hAnsi="Calibri" w:cs="Calibri"/>
          <w:b/>
          <w:color w:val="000000" w:themeColor="text1"/>
          <w:sz w:val="28"/>
          <w:szCs w:val="16"/>
        </w:rPr>
      </w:pPr>
      <w:r w:rsidRPr="00EA628C">
        <w:rPr>
          <w:rFonts w:ascii="Calibri" w:hAnsi="Calibri" w:cs="Calibri"/>
          <w:b/>
          <w:color w:val="000000" w:themeColor="text1"/>
          <w:sz w:val="28"/>
          <w:szCs w:val="16"/>
        </w:rPr>
        <w:t>Celebrating 20</w:t>
      </w:r>
      <w:r w:rsidRPr="00EA628C">
        <w:rPr>
          <w:rFonts w:ascii="Calibri" w:hAnsi="Calibri" w:cs="Calibri"/>
          <w:b/>
          <w:color w:val="000000" w:themeColor="text1"/>
          <w:sz w:val="28"/>
          <w:szCs w:val="16"/>
          <w:vertAlign w:val="superscript"/>
        </w:rPr>
        <w:t>th</w:t>
      </w:r>
      <w:r w:rsidRPr="00EA628C">
        <w:rPr>
          <w:rFonts w:ascii="Calibri" w:hAnsi="Calibri" w:cs="Calibri"/>
          <w:b/>
          <w:color w:val="000000" w:themeColor="text1"/>
          <w:sz w:val="28"/>
          <w:szCs w:val="16"/>
        </w:rPr>
        <w:t xml:space="preserve"> Anniversary </w:t>
      </w:r>
    </w:p>
    <w:p w14:paraId="2D3593D3" w14:textId="77777777" w:rsidR="009670E4" w:rsidRDefault="009670E4" w:rsidP="009670E4">
      <w:pPr>
        <w:spacing w:after="0"/>
        <w:jc w:val="center"/>
        <w:rPr>
          <w:rFonts w:ascii="Calibri" w:hAnsi="Calibri" w:cs="Calibri"/>
          <w:b/>
          <w:color w:val="000000" w:themeColor="text1"/>
          <w:sz w:val="28"/>
          <w:szCs w:val="16"/>
          <w:u w:val="single"/>
        </w:rPr>
      </w:pPr>
      <w:r w:rsidRPr="00EA628C">
        <w:rPr>
          <w:rFonts w:ascii="Calibri" w:hAnsi="Calibri" w:cs="Calibri"/>
          <w:b/>
          <w:color w:val="000000" w:themeColor="text1"/>
          <w:sz w:val="28"/>
          <w:szCs w:val="16"/>
          <w:u w:val="single"/>
        </w:rPr>
        <w:t>US–MENA PRIVATE SECTOR DIALOGUE (PSD) 2026</w:t>
      </w:r>
    </w:p>
    <w:p w14:paraId="1CFD9555" w14:textId="77777777" w:rsidR="009670E4" w:rsidRDefault="009670E4" w:rsidP="009670E4">
      <w:pPr>
        <w:spacing w:after="0"/>
        <w:jc w:val="center"/>
        <w:rPr>
          <w:rFonts w:ascii="Calibri" w:hAnsi="Calibri" w:cs="Calibri"/>
          <w:b/>
          <w:color w:val="000000" w:themeColor="text1"/>
          <w:sz w:val="28"/>
          <w:szCs w:val="16"/>
          <w:u w:val="single"/>
        </w:rPr>
      </w:pPr>
    </w:p>
    <w:tbl>
      <w:tblPr>
        <w:tblW w:w="0" w:type="auto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ook w:val="04A0" w:firstRow="1" w:lastRow="0" w:firstColumn="1" w:lastColumn="0" w:noHBand="0" w:noVBand="1"/>
      </w:tblPr>
      <w:tblGrid>
        <w:gridCol w:w="9344"/>
      </w:tblGrid>
      <w:tr w:rsidR="009670E4" w:rsidRPr="00366F87" w14:paraId="7B37F26F" w14:textId="77777777" w:rsidTr="006A2870">
        <w:trPr>
          <w:jc w:val="center"/>
        </w:trPr>
        <w:tc>
          <w:tcPr>
            <w:tcW w:w="10224" w:type="dxa"/>
            <w:shd w:val="clear" w:color="auto" w:fill="F4F7FA"/>
          </w:tcPr>
          <w:p w14:paraId="78020EAF" w14:textId="77777777" w:rsidR="009670E4" w:rsidRPr="00EA628C" w:rsidRDefault="009670E4" w:rsidP="006A2870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20"/>
              </w:rPr>
            </w:pPr>
            <w:r w:rsidRPr="00EA628C">
              <w:rPr>
                <w:rFonts w:ascii="Calibri" w:hAnsi="Calibri" w:cs="Calibri"/>
                <w:b/>
                <w:color w:val="000000" w:themeColor="text1"/>
                <w:szCs w:val="20"/>
              </w:rPr>
              <w:t>Where U.S. regulatory expectations meet MENA banking leadership.</w:t>
            </w:r>
          </w:p>
          <w:p w14:paraId="01FA5267" w14:textId="77777777" w:rsidR="009670E4" w:rsidRPr="00366F87" w:rsidRDefault="009670E4" w:rsidP="006A2870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366F87">
              <w:rPr>
                <w:rFonts w:ascii="Calibri" w:hAnsi="Calibri" w:cs="Calibri"/>
                <w:color w:val="000000" w:themeColor="text1"/>
                <w:sz w:val="21"/>
              </w:rPr>
              <w:t>A high-trust, senior-level banking dialogue focused on correspondent banking access, AML/CFT, sanctions, financial crime, digital assets, AI-enabled compliance, and cross-border payment integrity.</w:t>
            </w:r>
          </w:p>
        </w:tc>
      </w:tr>
    </w:tbl>
    <w:p w14:paraId="2C5C954C" w14:textId="77777777" w:rsidR="009670E4" w:rsidRDefault="009670E4" w:rsidP="009670E4">
      <w:pPr>
        <w:tabs>
          <w:tab w:val="left" w:pos="1251"/>
        </w:tabs>
        <w:spacing w:after="0"/>
        <w:rPr>
          <w:rFonts w:ascii="Calibri" w:hAnsi="Calibri" w:cs="Calibri"/>
          <w:color w:val="000000" w:themeColor="text1"/>
        </w:rPr>
      </w:pPr>
    </w:p>
    <w:p w14:paraId="76D85082" w14:textId="77777777" w:rsidR="009670E4" w:rsidRPr="00366F87" w:rsidRDefault="009670E4" w:rsidP="009670E4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1F1F1F"/>
          <w:sz w:val="21"/>
          <w:szCs w:val="21"/>
        </w:rPr>
      </w:pPr>
      <w:r>
        <w:rPr>
          <w:rFonts w:ascii="Calibri" w:hAnsi="Calibri" w:cs="Calibri"/>
          <w:color w:val="000000" w:themeColor="text1"/>
        </w:rPr>
        <w:t>30</w:t>
      </w:r>
      <w:r w:rsidRPr="00366F87">
        <w:rPr>
          <w:rFonts w:ascii="Calibri" w:hAnsi="Calibri" w:cs="Calibri"/>
          <w:color w:val="000000" w:themeColor="text1"/>
          <w:vertAlign w:val="superscript"/>
        </w:rPr>
        <w:t>th</w:t>
      </w:r>
      <w:r>
        <w:rPr>
          <w:rFonts w:ascii="Calibri" w:hAnsi="Calibri" w:cs="Calibri"/>
          <w:color w:val="000000" w:themeColor="text1"/>
        </w:rPr>
        <w:t xml:space="preserve"> October 2026                                                          </w:t>
      </w:r>
      <w:r w:rsidRPr="00366F87">
        <w:rPr>
          <w:rFonts w:ascii="Calibri" w:hAnsi="Calibri" w:cs="Calibri"/>
          <w:color w:val="000000" w:themeColor="text1"/>
        </w:rPr>
        <w:t>JP Morgan</w:t>
      </w:r>
      <w:r>
        <w:rPr>
          <w:rFonts w:ascii="Calibri" w:hAnsi="Calibri" w:cs="Calibri"/>
          <w:color w:val="000000" w:themeColor="text1"/>
        </w:rPr>
        <w:t xml:space="preserve"> HQ,</w:t>
      </w:r>
      <w:r w:rsidRPr="00366F87">
        <w:rPr>
          <w:rFonts w:ascii="Calibri" w:hAnsi="Calibri" w:cs="Calibri"/>
          <w:color w:val="000000" w:themeColor="text1"/>
        </w:rPr>
        <w:t xml:space="preserve"> New York, USA</w:t>
      </w:r>
    </w:p>
    <w:p w14:paraId="3A9B6F1A" w14:textId="77777777" w:rsidR="009670E4" w:rsidRPr="00EA628C" w:rsidRDefault="009670E4" w:rsidP="009670E4">
      <w:pPr>
        <w:spacing w:after="0"/>
        <w:jc w:val="center"/>
        <w:rPr>
          <w:rFonts w:ascii="Calibri" w:hAnsi="Calibri" w:cs="Calibri"/>
          <w:b/>
          <w:color w:val="000000" w:themeColor="text1"/>
          <w:sz w:val="28"/>
          <w:szCs w:val="16"/>
          <w:u w:val="single"/>
        </w:rPr>
      </w:pPr>
    </w:p>
    <w:p w14:paraId="3CEF5015" w14:textId="77777777" w:rsidR="009670E4" w:rsidRDefault="009670E4" w:rsidP="009670E4">
      <w:pPr>
        <w:spacing w:before="100" w:beforeAutospacing="1" w:after="100" w:afterAutospacing="1" w:line="240" w:lineRule="auto"/>
        <w:jc w:val="center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 xml:space="preserve">Agenda and </w:t>
      </w:r>
      <w:r w:rsidRPr="009670E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Strategic Discussion Themes</w:t>
      </w:r>
      <w:r w:rsidRPr="009670E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 xml:space="preserve"> </w:t>
      </w:r>
    </w:p>
    <w:p w14:paraId="4EC147F1" w14:textId="69174642" w:rsidR="009670E4" w:rsidRPr="009670E4" w:rsidRDefault="009670E4" w:rsidP="009670E4">
      <w:pPr>
        <w:spacing w:before="100" w:beforeAutospacing="1" w:after="100" w:afterAutospacing="1" w:line="240" w:lineRule="auto"/>
        <w:jc w:val="center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14:ligatures w14:val="none"/>
        </w:rPr>
        <w:t>Strengthening US–MENA Financial Integrity, Correspondent Banking Access &amp; Cross-Border Compliance</w:t>
      </w:r>
    </w:p>
    <w:p w14:paraId="40F4C56A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US–MENA PSD 2026 brings together senior banking leaders, regulators, compliance decision-makers, correspondent banking executives and financial crime specialists to address the critical regulatory and market issues shaping MENA banks’ access to the global financial system. </w:t>
      </w:r>
    </w:p>
    <w:p w14:paraId="09464735" w14:textId="77777777" w:rsidR="009670E4" w:rsidRPr="009670E4" w:rsidRDefault="0015448E" w:rsidP="009670E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48E">
        <w:rPr>
          <w:rFonts w:ascii="Calibri" w:eastAsia="Times New Roman" w:hAnsi="Calibri" w:cs="Calibri"/>
          <w:noProof/>
          <w:kern w:val="0"/>
        </w:rPr>
        <w:pict w14:anchorId="24F2AB1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51D3F11" w14:textId="77777777" w:rsidR="009670E4" w:rsidRDefault="009670E4" w:rsidP="009670E4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</w:p>
    <w:p w14:paraId="24FB11B8" w14:textId="77777777" w:rsidR="009670E4" w:rsidRPr="009670E4" w:rsidRDefault="009670E4" w:rsidP="009670E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lastRenderedPageBreak/>
        <w:t>1. The New U.S. AML/CFT Compliance Landscape</w:t>
      </w:r>
    </w:p>
    <w:p w14:paraId="4EE395B6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14:ligatures w14:val="none"/>
        </w:rPr>
        <w:t>Treasury, FinCEN &amp; Governance Expectations</w:t>
      </w:r>
    </w:p>
    <w:p w14:paraId="0BF3471B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>Key discussion points:</w:t>
      </w:r>
    </w:p>
    <w:p w14:paraId="0EFB7E13" w14:textId="77777777" w:rsidR="009670E4" w:rsidRPr="009670E4" w:rsidRDefault="009670E4" w:rsidP="00967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Shift from technical compliance to outcome-based AML/CFT programs </w:t>
      </w:r>
    </w:p>
    <w:p w14:paraId="61205945" w14:textId="77777777" w:rsidR="009670E4" w:rsidRPr="009670E4" w:rsidRDefault="009670E4" w:rsidP="00967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FinCEN expectations for risk-based, measurable and effective controls </w:t>
      </w:r>
    </w:p>
    <w:p w14:paraId="310D9903" w14:textId="77777777" w:rsidR="009670E4" w:rsidRPr="009670E4" w:rsidRDefault="009670E4" w:rsidP="00967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Board-level oversight and senior management accountability </w:t>
      </w:r>
    </w:p>
    <w:p w14:paraId="71B3E5F9" w14:textId="77777777" w:rsidR="009670E4" w:rsidRPr="009670E4" w:rsidRDefault="009670E4" w:rsidP="00967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Enterprise-wide compliance governance and institutional resilience </w:t>
      </w:r>
    </w:p>
    <w:p w14:paraId="1D8A7227" w14:textId="77777777" w:rsidR="009670E4" w:rsidRPr="009670E4" w:rsidRDefault="009670E4" w:rsidP="00967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Integrating U.S. AML/CFT priorities into bank risk assessments </w:t>
      </w:r>
    </w:p>
    <w:p w14:paraId="6349FCD6" w14:textId="77777777" w:rsidR="009670E4" w:rsidRPr="009670E4" w:rsidRDefault="009670E4" w:rsidP="00967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Beneficial ownership, complex structures and hidden control risks </w:t>
      </w:r>
    </w:p>
    <w:p w14:paraId="28758033" w14:textId="77777777" w:rsidR="009670E4" w:rsidRPr="009670E4" w:rsidRDefault="009670E4" w:rsidP="00967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Legal defensibility of AML/CFT and sanctions compliance programs </w:t>
      </w:r>
    </w:p>
    <w:p w14:paraId="3EC3F1EE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14:ligatures w14:val="none"/>
        </w:rPr>
        <w:t>Why it matters:</w:t>
      </w:r>
      <w:r w:rsidRPr="009670E4">
        <w:rPr>
          <w:rFonts w:ascii="Calibri" w:eastAsia="Times New Roman" w:hAnsi="Calibri" w:cs="Calibri"/>
          <w:kern w:val="0"/>
          <w14:ligatures w14:val="none"/>
        </w:rPr>
        <w:br/>
        <w:t>Banks must prove not only that controls exist, but that they are effective, risk-based and defensible.</w:t>
      </w:r>
    </w:p>
    <w:p w14:paraId="7E250349" w14:textId="77777777" w:rsidR="009670E4" w:rsidRPr="009670E4" w:rsidRDefault="0015448E" w:rsidP="009670E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48E">
        <w:rPr>
          <w:rFonts w:ascii="Calibri" w:eastAsia="Times New Roman" w:hAnsi="Calibri" w:cs="Calibri"/>
          <w:noProof/>
          <w:kern w:val="0"/>
        </w:rPr>
        <w:pict w14:anchorId="0251585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FC00D3" w14:textId="77777777" w:rsidR="009670E4" w:rsidRPr="009670E4" w:rsidRDefault="009670E4" w:rsidP="009670E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2. Safeguarding Correspondent Banking Access</w:t>
      </w:r>
    </w:p>
    <w:p w14:paraId="1AB8A1DB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14:ligatures w14:val="none"/>
        </w:rPr>
        <w:t>Transparency, KYCC &amp; Cross-Border Visibility</w:t>
      </w:r>
    </w:p>
    <w:p w14:paraId="38260422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>Key discussion points:</w:t>
      </w:r>
    </w:p>
    <w:p w14:paraId="25796152" w14:textId="77777777" w:rsidR="009670E4" w:rsidRPr="009670E4" w:rsidRDefault="009670E4" w:rsidP="009670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Preserving correspondent banking relationships under higher scrutiny </w:t>
      </w:r>
    </w:p>
    <w:p w14:paraId="3C975FE1" w14:textId="77777777" w:rsidR="009670E4" w:rsidRPr="009670E4" w:rsidRDefault="009670E4" w:rsidP="009670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U.S. correspondent bank expectations on transparency and governance </w:t>
      </w:r>
    </w:p>
    <w:p w14:paraId="16461375" w14:textId="77777777" w:rsidR="009670E4" w:rsidRPr="009670E4" w:rsidRDefault="009670E4" w:rsidP="009670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KYCC and payment-chain visibility </w:t>
      </w:r>
    </w:p>
    <w:p w14:paraId="19652561" w14:textId="77777777" w:rsidR="009670E4" w:rsidRPr="009670E4" w:rsidRDefault="009670E4" w:rsidP="009670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Understanding underlying counterparties and transaction ecosystems </w:t>
      </w:r>
    </w:p>
    <w:p w14:paraId="5857C4B7" w14:textId="77777777" w:rsidR="009670E4" w:rsidRPr="009670E4" w:rsidRDefault="009670E4" w:rsidP="009670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Managing de-risking pressures while preserving financial access </w:t>
      </w:r>
    </w:p>
    <w:p w14:paraId="3A228F73" w14:textId="77777777" w:rsidR="009670E4" w:rsidRPr="009670E4" w:rsidRDefault="009670E4" w:rsidP="009670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Cash economies, informal channels, MSBs and shadow banking risks </w:t>
      </w:r>
    </w:p>
    <w:p w14:paraId="5AE608FD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14:ligatures w14:val="none"/>
        </w:rPr>
        <w:t>Why it matters:</w:t>
      </w:r>
      <w:r w:rsidRPr="009670E4">
        <w:rPr>
          <w:rFonts w:ascii="Calibri" w:eastAsia="Times New Roman" w:hAnsi="Calibri" w:cs="Calibri"/>
          <w:kern w:val="0"/>
          <w14:ligatures w14:val="none"/>
        </w:rPr>
        <w:br/>
        <w:t>Correspondent banking access remains a strategic lifeline for MENA banks, trade flows and financial connectivity.</w:t>
      </w:r>
    </w:p>
    <w:p w14:paraId="45F3C66C" w14:textId="77777777" w:rsidR="009670E4" w:rsidRPr="009670E4" w:rsidRDefault="0015448E" w:rsidP="009670E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48E">
        <w:rPr>
          <w:rFonts w:ascii="Calibri" w:eastAsia="Times New Roman" w:hAnsi="Calibri" w:cs="Calibri"/>
          <w:noProof/>
          <w:kern w:val="0"/>
        </w:rPr>
        <w:pict w14:anchorId="164A9EA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4100862" w14:textId="77777777" w:rsidR="009670E4" w:rsidRPr="009670E4" w:rsidRDefault="009670E4" w:rsidP="009670E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3. Syria, Iraq &amp; High-Risk Jurisdictions</w:t>
      </w:r>
    </w:p>
    <w:p w14:paraId="661E67B3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14:ligatures w14:val="none"/>
        </w:rPr>
        <w:t>Practical Risk Management Without Political Positioning</w:t>
      </w:r>
    </w:p>
    <w:p w14:paraId="377D1E89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lastRenderedPageBreak/>
        <w:t>Key discussion points:</w:t>
      </w:r>
    </w:p>
    <w:p w14:paraId="560945CF" w14:textId="77777777" w:rsidR="009670E4" w:rsidRPr="009670E4" w:rsidRDefault="009670E4" w:rsidP="00967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Managing exposure to complex jurisdictions through risk-based controls </w:t>
      </w:r>
    </w:p>
    <w:p w14:paraId="3CC80073" w14:textId="77777777" w:rsidR="009670E4" w:rsidRPr="009670E4" w:rsidRDefault="009670E4" w:rsidP="00967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Humanitarian channels and permitted financial flows </w:t>
      </w:r>
    </w:p>
    <w:p w14:paraId="5FC604FB" w14:textId="77777777" w:rsidR="009670E4" w:rsidRPr="009670E4" w:rsidRDefault="009670E4" w:rsidP="00967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Reconstruction-related transactions and compliance safeguards </w:t>
      </w:r>
    </w:p>
    <w:p w14:paraId="4AB9FCC8" w14:textId="77777777" w:rsidR="009670E4" w:rsidRPr="009670E4" w:rsidRDefault="009670E4" w:rsidP="00967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Syria’s evolving trade, compliance and financial landscape </w:t>
      </w:r>
    </w:p>
    <w:p w14:paraId="5C235833" w14:textId="77777777" w:rsidR="009670E4" w:rsidRPr="009670E4" w:rsidRDefault="009670E4" w:rsidP="00967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Export controls, dual-use goods and restricted party screening </w:t>
      </w:r>
    </w:p>
    <w:p w14:paraId="52FB8AAC" w14:textId="77777777" w:rsidR="009670E4" w:rsidRPr="009670E4" w:rsidRDefault="009670E4" w:rsidP="00967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Readiness gaps in compliance programs across high-risk markets </w:t>
      </w:r>
    </w:p>
    <w:p w14:paraId="1703C2C7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14:ligatures w14:val="none"/>
        </w:rPr>
        <w:t>Why it matters:</w:t>
      </w:r>
      <w:r w:rsidRPr="009670E4">
        <w:rPr>
          <w:rFonts w:ascii="Calibri" w:eastAsia="Times New Roman" w:hAnsi="Calibri" w:cs="Calibri"/>
          <w:kern w:val="0"/>
          <w14:ligatures w14:val="none"/>
        </w:rPr>
        <w:br/>
        <w:t>Banks need practical frameworks to support permitted activity while managing sanctions, trade and reputational exposure.</w:t>
      </w:r>
    </w:p>
    <w:p w14:paraId="0653FB0D" w14:textId="77777777" w:rsidR="009670E4" w:rsidRPr="009670E4" w:rsidRDefault="0015448E" w:rsidP="009670E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48E">
        <w:rPr>
          <w:rFonts w:ascii="Calibri" w:eastAsia="Times New Roman" w:hAnsi="Calibri" w:cs="Calibri"/>
          <w:noProof/>
          <w:kern w:val="0"/>
        </w:rPr>
        <w:pict w14:anchorId="1091463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0973BC5" w14:textId="77777777" w:rsidR="009670E4" w:rsidRDefault="009670E4" w:rsidP="009670E4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</w:p>
    <w:p w14:paraId="5ED2E262" w14:textId="47569B79" w:rsidR="009670E4" w:rsidRPr="009670E4" w:rsidRDefault="009670E4" w:rsidP="009670E4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Page 2: Emerging Risk Areas</w:t>
      </w:r>
    </w:p>
    <w:p w14:paraId="5B43C070" w14:textId="77777777" w:rsidR="009670E4" w:rsidRPr="009670E4" w:rsidRDefault="009670E4" w:rsidP="009670E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4. Trade, Oil, Shipping &amp; Financial Crime Risk</w:t>
      </w:r>
    </w:p>
    <w:p w14:paraId="513A65AC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14:ligatures w14:val="none"/>
        </w:rPr>
        <w:t>Commodity Flows, Maritime Exposure &amp; Sanctions Circumvention</w:t>
      </w:r>
    </w:p>
    <w:p w14:paraId="485B6148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>Key discussion points:</w:t>
      </w:r>
    </w:p>
    <w:p w14:paraId="74AFF346" w14:textId="77777777" w:rsidR="009670E4" w:rsidRPr="009670E4" w:rsidRDefault="009670E4" w:rsidP="00967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Trade-based money laundering and false documentation </w:t>
      </w:r>
    </w:p>
    <w:p w14:paraId="1D14C8C1" w14:textId="77777777" w:rsidR="009670E4" w:rsidRPr="009670E4" w:rsidRDefault="009670E4" w:rsidP="00967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Invoice manipulation, trade mispricing and false origin declarations </w:t>
      </w:r>
    </w:p>
    <w:p w14:paraId="41666569" w14:textId="77777777" w:rsidR="009670E4" w:rsidRPr="009670E4" w:rsidRDefault="009670E4" w:rsidP="00967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Maritime due diligence and vessel ownership transparency </w:t>
      </w:r>
    </w:p>
    <w:p w14:paraId="104D4A0F" w14:textId="77777777" w:rsidR="009670E4" w:rsidRPr="009670E4" w:rsidRDefault="009670E4" w:rsidP="00967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Shipping routes, vessel monitoring and sanctions exposure </w:t>
      </w:r>
    </w:p>
    <w:p w14:paraId="001EDDEC" w14:textId="77777777" w:rsidR="009670E4" w:rsidRPr="009670E4" w:rsidRDefault="009670E4" w:rsidP="00967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Regional maritime disruptions and trade finance implications </w:t>
      </w:r>
    </w:p>
    <w:p w14:paraId="3B344A40" w14:textId="77777777" w:rsidR="009670E4" w:rsidRPr="009670E4" w:rsidRDefault="009670E4" w:rsidP="00967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Oil payments, commodity transactions and intermediary risks </w:t>
      </w:r>
    </w:p>
    <w:p w14:paraId="601156D6" w14:textId="77777777" w:rsidR="009670E4" w:rsidRPr="009670E4" w:rsidRDefault="009670E4" w:rsidP="00967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Supply-chain diversion and dual-use goods exposure </w:t>
      </w:r>
    </w:p>
    <w:p w14:paraId="143D32F3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14:ligatures w14:val="none"/>
        </w:rPr>
        <w:t>Why it matters:</w:t>
      </w:r>
      <w:r w:rsidRPr="009670E4">
        <w:rPr>
          <w:rFonts w:ascii="Calibri" w:eastAsia="Times New Roman" w:hAnsi="Calibri" w:cs="Calibri"/>
          <w:kern w:val="0"/>
          <w14:ligatures w14:val="none"/>
        </w:rPr>
        <w:br/>
        <w:t>Trade, oil and shipping channels are increasingly used to disguise financial crime, sanctions evasion and illicit flows.</w:t>
      </w:r>
    </w:p>
    <w:p w14:paraId="0AD85AA3" w14:textId="77777777" w:rsidR="009670E4" w:rsidRPr="009670E4" w:rsidRDefault="0015448E" w:rsidP="009670E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48E">
        <w:rPr>
          <w:rFonts w:ascii="Calibri" w:eastAsia="Times New Roman" w:hAnsi="Calibri" w:cs="Calibri"/>
          <w:noProof/>
          <w:kern w:val="0"/>
        </w:rPr>
        <w:pict w14:anchorId="561A542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783833B" w14:textId="77777777" w:rsidR="009670E4" w:rsidRDefault="009670E4" w:rsidP="009670E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</w:p>
    <w:p w14:paraId="2919E832" w14:textId="71605400" w:rsidR="009670E4" w:rsidRPr="009670E4" w:rsidRDefault="009670E4" w:rsidP="009670E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lastRenderedPageBreak/>
        <w:t>5. Sanctions, Iran-Linked Risks &amp; Regional Escalation</w:t>
      </w:r>
    </w:p>
    <w:p w14:paraId="61ED9CDB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14:ligatures w14:val="none"/>
        </w:rPr>
        <w:t>Managing Hidden Exposure in a Volatile Environment</w:t>
      </w:r>
    </w:p>
    <w:p w14:paraId="73A75D77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>Key discussion points:</w:t>
      </w:r>
    </w:p>
    <w:p w14:paraId="76B98B40" w14:textId="77777777" w:rsidR="009670E4" w:rsidRPr="009670E4" w:rsidRDefault="009670E4" w:rsidP="00967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Sanctions compliance in a rapidly changing regional environment </w:t>
      </w:r>
    </w:p>
    <w:p w14:paraId="471FFB2E" w14:textId="77777777" w:rsidR="009670E4" w:rsidRPr="009670E4" w:rsidRDefault="009670E4" w:rsidP="00967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Emerging sanctions evasion typologies and risk indicators </w:t>
      </w:r>
    </w:p>
    <w:p w14:paraId="30F3E0F7" w14:textId="77777777" w:rsidR="009670E4" w:rsidRPr="009670E4" w:rsidRDefault="009670E4" w:rsidP="00967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Intermediary networks, front companies and alternative payment channels </w:t>
      </w:r>
    </w:p>
    <w:p w14:paraId="170A21A0" w14:textId="77777777" w:rsidR="009670E4" w:rsidRPr="009670E4" w:rsidRDefault="009670E4" w:rsidP="00967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Secondary sanctions and indirect exposure </w:t>
      </w:r>
    </w:p>
    <w:p w14:paraId="7AB8ABF2" w14:textId="77777777" w:rsidR="009670E4" w:rsidRPr="009670E4" w:rsidRDefault="009670E4" w:rsidP="00967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Risks linked to customers, vessels, insurers, counterparties and trade routes </w:t>
      </w:r>
    </w:p>
    <w:p w14:paraId="19A9654B" w14:textId="77777777" w:rsidR="009670E4" w:rsidRPr="009670E4" w:rsidRDefault="009670E4" w:rsidP="00967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OFAC expectations for shipping and safe-passage payments </w:t>
      </w:r>
    </w:p>
    <w:p w14:paraId="129FA3D3" w14:textId="77777777" w:rsidR="009670E4" w:rsidRPr="009670E4" w:rsidRDefault="009670E4" w:rsidP="00967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Digital assets and sanctions evasion risks </w:t>
      </w:r>
    </w:p>
    <w:p w14:paraId="115C8443" w14:textId="77777777" w:rsidR="009670E4" w:rsidRPr="009670E4" w:rsidRDefault="009670E4" w:rsidP="00967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Corruption, illicit networks and financial integrity exposure </w:t>
      </w:r>
    </w:p>
    <w:p w14:paraId="254AB111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14:ligatures w14:val="none"/>
        </w:rPr>
        <w:t>Why it matters:</w:t>
      </w:r>
      <w:r w:rsidRPr="009670E4">
        <w:rPr>
          <w:rFonts w:ascii="Calibri" w:eastAsia="Times New Roman" w:hAnsi="Calibri" w:cs="Calibri"/>
          <w:kern w:val="0"/>
          <w14:ligatures w14:val="none"/>
        </w:rPr>
        <w:br/>
        <w:t>Sanctions risk is no longer limited to named parties; exposure can emerge through indirect links, trade routes and hidden networks.</w:t>
      </w:r>
    </w:p>
    <w:p w14:paraId="3D77B1E4" w14:textId="77777777" w:rsidR="009670E4" w:rsidRPr="009670E4" w:rsidRDefault="0015448E" w:rsidP="009670E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48E">
        <w:rPr>
          <w:rFonts w:ascii="Calibri" w:eastAsia="Times New Roman" w:hAnsi="Calibri" w:cs="Calibri"/>
          <w:noProof/>
          <w:kern w:val="0"/>
        </w:rPr>
        <w:pict w14:anchorId="5C6A5F4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F05411" w14:textId="77777777" w:rsidR="009670E4" w:rsidRPr="009670E4" w:rsidRDefault="009670E4" w:rsidP="009670E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6. AI, Digital Finance &amp; Compliance Technology</w:t>
      </w:r>
    </w:p>
    <w:p w14:paraId="25D5DAA8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14:ligatures w14:val="none"/>
        </w:rPr>
        <w:t>Building Future-Ready Compliance Controls</w:t>
      </w:r>
    </w:p>
    <w:p w14:paraId="183227A4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>Key discussion points:</w:t>
      </w:r>
    </w:p>
    <w:p w14:paraId="5727726D" w14:textId="77777777" w:rsidR="009670E4" w:rsidRPr="009670E4" w:rsidRDefault="009670E4" w:rsidP="009670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Digital assets, stablecoins and evolving AML/CFT expectations </w:t>
      </w:r>
    </w:p>
    <w:p w14:paraId="1F5DB41D" w14:textId="77777777" w:rsidR="009670E4" w:rsidRPr="009670E4" w:rsidRDefault="009670E4" w:rsidP="009670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VASPs and cross-border digital asset transfers </w:t>
      </w:r>
    </w:p>
    <w:p w14:paraId="68D38151" w14:textId="77777777" w:rsidR="009670E4" w:rsidRPr="009670E4" w:rsidRDefault="009670E4" w:rsidP="009670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Cyber-enabled financial crime and sanctions evasion </w:t>
      </w:r>
    </w:p>
    <w:p w14:paraId="1514F6E4" w14:textId="77777777" w:rsidR="009670E4" w:rsidRPr="009670E4" w:rsidRDefault="009670E4" w:rsidP="009670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Travel Rule compliance and payment transparency </w:t>
      </w:r>
    </w:p>
    <w:p w14:paraId="605042F9" w14:textId="77777777" w:rsidR="009670E4" w:rsidRPr="009670E4" w:rsidRDefault="009670E4" w:rsidP="009670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AI-backed controls for AML/CFT, sanctions and financial crime compliance </w:t>
      </w:r>
    </w:p>
    <w:p w14:paraId="02262280" w14:textId="77777777" w:rsidR="009670E4" w:rsidRPr="009670E4" w:rsidRDefault="009670E4" w:rsidP="009670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Governance, suitability and oversight of AI-enabled compliance tools </w:t>
      </w:r>
    </w:p>
    <w:p w14:paraId="0C064C63" w14:textId="77777777" w:rsidR="009670E4" w:rsidRPr="009670E4" w:rsidRDefault="009670E4" w:rsidP="009670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kern w:val="0"/>
          <w14:ligatures w14:val="none"/>
        </w:rPr>
        <w:t xml:space="preserve">Banks, fintechs, VASPs and MSBs in the evolving financial ecosystem </w:t>
      </w:r>
    </w:p>
    <w:p w14:paraId="68AD3B2C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14:ligatures w14:val="none"/>
        </w:rPr>
        <w:t>Why it matters:</w:t>
      </w:r>
      <w:r w:rsidRPr="009670E4">
        <w:rPr>
          <w:rFonts w:ascii="Calibri" w:eastAsia="Times New Roman" w:hAnsi="Calibri" w:cs="Calibri"/>
          <w:kern w:val="0"/>
          <w14:ligatures w14:val="none"/>
        </w:rPr>
        <w:br/>
        <w:t>Technology can strengthen compliance, but only when supported by governance, explainability and regulatory confidence.</w:t>
      </w:r>
    </w:p>
    <w:p w14:paraId="58C3E336" w14:textId="77777777" w:rsidR="009670E4" w:rsidRPr="009670E4" w:rsidRDefault="0015448E" w:rsidP="009670E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5448E">
        <w:rPr>
          <w:rFonts w:ascii="Calibri" w:eastAsia="Times New Roman" w:hAnsi="Calibri" w:cs="Calibri"/>
          <w:noProof/>
          <w:kern w:val="0"/>
        </w:rPr>
        <w:pict w14:anchorId="4689468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EA5D1F" w14:textId="77777777" w:rsidR="009670E4" w:rsidRDefault="009670E4" w:rsidP="009670E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</w:p>
    <w:p w14:paraId="6DF0702C" w14:textId="2B4E323F" w:rsidR="009670E4" w:rsidRPr="009670E4" w:rsidRDefault="009670E4" w:rsidP="009670E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lastRenderedPageBreak/>
        <w:t>Closing Brochure Statement</w:t>
      </w:r>
    </w:p>
    <w:p w14:paraId="3C0C34DB" w14:textId="77777777" w:rsidR="009670E4" w:rsidRPr="009670E4" w:rsidRDefault="009670E4" w:rsidP="009670E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14:ligatures w14:val="none"/>
        </w:rPr>
        <w:t>US–MENA PSD 2026 is a high-level, invitation-led dialogue focused on protecting correspondent banking access, strengthening regulatory trust and helping MENA financial institutions navigate the next era of AML/CFT, sanctions, digital finance and cross-border compliance.</w:t>
      </w:r>
    </w:p>
    <w:p w14:paraId="1EFC4CFF" w14:textId="77777777" w:rsidR="00A54D90" w:rsidRPr="009670E4" w:rsidRDefault="00A54D90">
      <w:pPr>
        <w:rPr>
          <w:rFonts w:ascii="Calibri" w:hAnsi="Calibri" w:cs="Calibri"/>
        </w:rPr>
      </w:pPr>
    </w:p>
    <w:sectPr w:rsidR="00A54D90" w:rsidRPr="009670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79039A"/>
    <w:multiLevelType w:val="multilevel"/>
    <w:tmpl w:val="C00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C486C"/>
    <w:multiLevelType w:val="multilevel"/>
    <w:tmpl w:val="5AE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94761"/>
    <w:multiLevelType w:val="multilevel"/>
    <w:tmpl w:val="0A24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81CF1"/>
    <w:multiLevelType w:val="multilevel"/>
    <w:tmpl w:val="1DE6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458E1"/>
    <w:multiLevelType w:val="multilevel"/>
    <w:tmpl w:val="F8C4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2404E"/>
    <w:multiLevelType w:val="multilevel"/>
    <w:tmpl w:val="667A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624603">
    <w:abstractNumId w:val="1"/>
  </w:num>
  <w:num w:numId="2" w16cid:durableId="1097866534">
    <w:abstractNumId w:val="2"/>
  </w:num>
  <w:num w:numId="3" w16cid:durableId="1212039294">
    <w:abstractNumId w:val="5"/>
  </w:num>
  <w:num w:numId="4" w16cid:durableId="110393762">
    <w:abstractNumId w:val="4"/>
  </w:num>
  <w:num w:numId="5" w16cid:durableId="1242983920">
    <w:abstractNumId w:val="0"/>
  </w:num>
  <w:num w:numId="6" w16cid:durableId="83869079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0E4"/>
    <w:rsid w:val="0015448E"/>
    <w:rsid w:val="00190810"/>
    <w:rsid w:val="004653C9"/>
    <w:rsid w:val="009670E4"/>
    <w:rsid w:val="00A54D90"/>
    <w:rsid w:val="00A8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2D81B"/>
  <w15:chartTrackingRefBased/>
  <w15:docId w15:val="{3202B8C2-8757-3540-AAC9-848AD8E7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7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7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0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7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70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930</Words>
  <Characters>5304</Characters>
  <Application>Microsoft Office Word</Application>
  <DocSecurity>0</DocSecurity>
  <Lines>44</Lines>
  <Paragraphs>12</Paragraphs>
  <ScaleCrop>false</ScaleCrop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</dc:creator>
  <cp:keywords/>
  <dc:description/>
  <cp:lastModifiedBy>Joanne</cp:lastModifiedBy>
  <cp:revision>1</cp:revision>
  <dcterms:created xsi:type="dcterms:W3CDTF">2026-06-21T13:30:00Z</dcterms:created>
  <dcterms:modified xsi:type="dcterms:W3CDTF">2026-06-21T13:34:00Z</dcterms:modified>
</cp:coreProperties>
</file>