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5A7A"/>
          <w:sz w:val="76"/>
          <w:szCs w:val="76"/>
        </w:rPr>
        <w:t xml:space="preserve">COGETO</w:t>
      </w:r>
    </w:p>
    <w:p>
      <w:pPr>
        <w:spacing w:after="60"/>
      </w:pPr>
      <w:r>
        <w:rPr>
          <w:i/>
          <w:iCs/>
          <w:color w:val="5A6672"/>
          <w:sz w:val="26"/>
          <w:szCs w:val="26"/>
        </w:rPr>
        <w:t xml:space="preserve">Cogeto, ergo sum. Your mind, extended.</w:t>
      </w:r>
    </w:p>
    <w:p>
      <w:pPr>
        <w:pBdr>
          <w:bottom w:val="single" w:color="2E5A7A" w:sz="12" w:space="6"/>
        </w:pBdr>
        <w:spacing w:after="360"/>
      </w:pPr>
      <w:r>
        <w:t xml:space="preserve"/>
      </w:r>
    </w:p>
    <w:p>
      <w:pPr>
        <w:spacing w:after="40"/>
      </w:pPr>
      <w:r>
        <w:rPr>
          <w:b/>
          <w:bCs/>
          <w:color w:val="1A1A1A"/>
          <w:sz w:val="30"/>
          <w:szCs w:val="30"/>
        </w:rPr>
        <w:t xml:space="preserve">Product Specification and Technical Architecture</w:t>
      </w:r>
    </w:p>
    <w:p>
      <w:pPr>
        <w:spacing w:after="40"/>
      </w:pPr>
      <w:r>
        <w:rPr>
          <w:color w:val="5A6672"/>
          <w:sz w:val="24"/>
          <w:szCs w:val="24"/>
        </w:rPr>
        <w:t xml:space="preserve">Version 1 (v1) Scope and Strategy</w:t>
      </w:r>
    </w:p>
    <w:p>
      <w:pPr>
        <w:spacing w:after="600"/>
      </w:pPr>
      <w:r>
        <w:rPr>
          <w:color w:val="1A1A1A"/>
          <w:sz w:val="22"/>
          <w:szCs w:val="22"/>
        </w:rPr>
        <w:t xml:space="preserve">Private, EU-hosted AI that remembers your context and acts only with your approval.</w:t>
      </w:r>
    </w:p>
    <w:p>
      <w:pPr>
        <w:spacing w:after="20"/>
      </w:pPr>
      <w:r>
        <w:rPr>
          <w:color w:val="5A6672"/>
          <w:sz w:val="20"/>
          <w:szCs w:val="20"/>
        </w:rPr>
        <w:t xml:space="preserve">Prepared: June 2026</w:t>
      </w:r>
    </w:p>
    <w:p>
      <w:pPr>
        <w:spacing w:after="0"/>
      </w:pPr>
      <w:r>
        <w:rPr>
          <w:color w:val="5A6672"/>
          <w:sz w:val="20"/>
          <w:szCs w:val="20"/>
        </w:rPr>
        <w:t xml:space="preserve">Status: Working specification, scope locked for v1</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b/>
          <w:bCs/>
        </w:rPr>
        <w:t xml:space="preserve">Cogeto is a private, EU-hosted AI command center that turns your scattered work context into trusted, correctable memory, and runs human-approved agents on top of it.</w:t>
      </w:r>
    </w:p>
    <w:p>
      <w:pPr>
        <w:spacing w:after="140" w:line="276"/>
      </w:pPr>
      <w:r>
        <w:t xml:space="preserve">The bet is not </w:t>
      </w:r>
      <w:r>
        <w:rPr>
          <w:i/>
          <w:iCs/>
        </w:rPr>
        <w:t xml:space="preserve">we have memory</w:t>
      </w:r>
      <w:r>
        <w:t xml:space="preserve">. Everyone has memory. The bet is memory you can trust, correct, and inspect, hosted privately in the EU, packaged for people who do not want to operate infrastructure. No competitor in the memory space leads with that combination.</w:t>
      </w:r>
    </w:p>
    <w:p>
      <w:pPr>
        <w:spacing w:after="140" w:line="276"/>
      </w:pPr>
      <w:r>
        <w:t xml:space="preserve">This document is the lean v1. It deliberately reduces scope so there is one clear product to ship, one clear user, and one clear reason to pay. Everything cut is recorded under </w:t>
      </w:r>
      <w:r>
        <w:rPr>
          <w:b/>
          <w:bCs/>
        </w:rPr>
        <w:t xml:space="preserve">Later</w:t>
      </w:r>
      <w:r>
        <w:t xml:space="preserve">, so it is sequenced, not abandoned.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7A" w:sz="18"/>
              <w:bottom w:val="none"/>
              <w:right w:val="none"/>
            </w:tcBorders>
            <w:shd w:fill="EAF1F6" w:val="clear"/>
            <w:tcMar>
              <w:top w:type="dxa" w:w="100"/>
              <w:left w:type="dxa" w:w="200"/>
              <w:bottom w:type="dxa" w:w="100"/>
              <w:right w:type="dxa" w:w="160"/>
            </w:tcMar>
          </w:tcPr>
          <w:p>
            <w:pPr>
              <w:spacing w:after="0" w:line="272"/>
            </w:pPr>
            <w:r>
              <w:rPr>
                <w:b/>
                <w:bCs/>
              </w:rPr>
              <w:t xml:space="preserve">Guiding principle: </w:t>
            </w:r>
            <w:r>
              <w:t xml:space="preserve">AI memory must be correctable, inspectable, and allowed to become outdated. Most AI memory products remember. Cogeto remembers responsibly.</w:t>
            </w:r>
          </w:p>
        </w:tc>
      </w:tr>
    </w:tbl>
    <w:p>
      <w:pPr>
        <w:pBdr>
          <w:bottom w:val="single" w:color="C9D6E0" w:sz="6" w:space="1"/>
        </w:pBdr>
        <w:spacing w:after="120" w:before="40"/>
      </w:pPr>
      <w:r>
        <w:t xml:space="preserve"/>
      </w:r>
    </w:p>
    <w:p>
      <w:pPr>
        <w:pStyle w:val="Heading1"/>
      </w:pPr>
      <w:r>
        <w:t xml:space="preserve">2. Product positioning</w:t>
      </w:r>
    </w:p>
    <w:p>
      <w:pPr>
        <w:pStyle w:val="Heading2"/>
      </w:pPr>
      <w:r>
        <w:t xml:space="preserve">2.1 The one-line product</w:t>
      </w:r>
    </w:p>
    <w:p>
      <w:pPr>
        <w:spacing w:after="140" w:line="276"/>
      </w:pPr>
      <w:r>
        <w:rPr>
          <w:b/>
          <w:bCs/>
        </w:rPr>
        <w:t xml:space="preserve">Cogeto is a private, EU-hosted AI command center that turns scattered work context into trusted, correctable memory, and runs human-approved agents on top of it.</w:t>
      </w:r>
    </w:p>
    <w:p>
      <w:pPr>
        <w:pStyle w:val="Heading2"/>
      </w:pPr>
      <w:r>
        <w:t xml:space="preserve">2.2 Who v1 is for</w:t>
      </w:r>
    </w:p>
    <w:p>
      <w:pPr>
        <w:spacing w:after="140" w:line="276"/>
      </w:pPr>
      <w:r>
        <w:rPr>
          <w:b/>
          <w:bCs/>
        </w:rPr>
        <w:t xml:space="preserve">Primary user: the privacy-conscious solo professional. </w:t>
      </w:r>
      <w:r>
        <w:t xml:space="preserve">Consultants, founders, executives, freelancers, and small advisory teams. People whose work context (decisions, promises, people, projects, open loops) is scattered across email, calendar, and notes, who would never paste that context into a US hyperscaler chatbot, and who will pay for someone to host it privately for them.</w:t>
      </w:r>
    </w:p>
    <w:p>
      <w:pPr>
        <w:spacing w:after="140" w:line="276"/>
      </w:pPr>
      <w:r>
        <w:t xml:space="preserve">Not in v1:</w:t>
      </w:r>
    </w:p>
    <w:p>
      <w:pPr>
        <w:pStyle w:val="ListParagraph"/>
        <w:numPr>
          <w:ilvl w:val="0"/>
          <w:numId w:val="2"/>
        </w:numPr>
        <w:spacing w:after="80" w:line="272"/>
      </w:pPr>
      <w:r>
        <w:t xml:space="preserve">Mass-market consumers.</w:t>
      </w:r>
    </w:p>
    <w:p>
      <w:pPr>
        <w:pStyle w:val="ListParagraph"/>
        <w:numPr>
          <w:ilvl w:val="0"/>
          <w:numId w:val="2"/>
        </w:numPr>
        <w:spacing w:after="80" w:line="272"/>
      </w:pPr>
      <w:r>
        <w:t xml:space="preserve">Developers as the primary buyer, although developers can self-host (see Deployment).</w:t>
      </w:r>
    </w:p>
    <w:p>
      <w:pPr>
        <w:spacing w:after="140" w:line="276"/>
      </w:pPr>
      <w:r>
        <w:t xml:space="preserve">This user types. They do not need voice. They need to </w:t>
      </w:r>
      <w:r>
        <w:rPr>
          <w:i/>
          <w:iCs/>
        </w:rPr>
        <w:t xml:space="preserve">trust</w:t>
      </w:r>
      <w:r>
        <w:t xml:space="preserve"> what the system remembers about their clients.</w:t>
      </w:r>
    </w:p>
    <w:p>
      <w:pPr>
        <w:pStyle w:val="Heading2"/>
      </w:pPr>
      <w:r>
        <w:t xml:space="preserve">2.3 The one job v1 does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7A" w:sz="18"/>
              <w:bottom w:val="none"/>
              <w:right w:val="none"/>
            </w:tcBorders>
            <w:shd w:fill="EAF1F6" w:val="clear"/>
            <w:tcMar>
              <w:top w:type="dxa" w:w="100"/>
              <w:left w:type="dxa" w:w="200"/>
              <w:bottom w:type="dxa" w:w="100"/>
              <w:right w:type="dxa" w:w="160"/>
            </w:tcMar>
          </w:tcPr>
          <w:p>
            <w:pPr>
              <w:spacing w:after="0" w:line="272"/>
            </w:pPr>
            <w:r>
              <w:rPr>
                <w:b/>
                <w:bCs/>
              </w:rPr>
              <w:t xml:space="preserve">“What did I decide, promise, and commit to, across my email, calendar, and notes, and what is still open?”</w:t>
            </w:r>
          </w:p>
        </w:tc>
      </w:tr>
    </w:tbl>
    <w:p>
      <w:pPr>
        <w:spacing w:after="140" w:line="276"/>
      </w:pPr>
      <w:r>
        <w:t xml:space="preserve">If Cogeto answers that reliably and privately on day one, it has earned the user. Everything else is expansion.</w:t>
      </w:r>
    </w:p>
    <w:p>
      <w:pPr>
        <w:pBdr>
          <w:bottom w:val="single" w:color="C9D6E0" w:sz="6" w:space="1"/>
        </w:pBdr>
        <w:spacing w:after="120" w:before="40"/>
      </w:pPr>
      <w:r>
        <w:t xml:space="preserve"/>
      </w:r>
    </w:p>
    <w:p>
      <w:pPr>
        <w:pStyle w:val="Heading1"/>
      </w:pPr>
      <w:r>
        <w:t xml:space="preserve">3. Product specification (v1 scope, locked)</w:t>
      </w:r>
    </w:p>
    <w:p>
      <w:pPr>
        <w:pStyle w:val="Heading2"/>
      </w:pPr>
      <w:r>
        <w:t xml:space="preserve">3.0 Interaction surfaces</w:t>
      </w:r>
    </w:p>
    <w:p>
      <w:pPr>
        <w:spacing w:after="140" w:line="276"/>
      </w:pPr>
      <w:r>
        <w:t xml:space="preserve">Cogeto has two surfaces, and both ship in v1. They serve different needs and reinforce each other.</w:t>
      </w:r>
    </w:p>
    <w:p>
      <w:pPr>
        <w:pStyle w:val="ListParagraph"/>
        <w:numPr>
          <w:ilvl w:val="0"/>
          <w:numId w:val="2"/>
        </w:numPr>
        <w:spacing w:after="80" w:line="272"/>
      </w:pPr>
      <w:r>
        <w:rPr>
          <w:b/>
          <w:bCs/>
        </w:rPr>
        <w:t xml:space="preserve">Chat (conversational), the primary everyday interface. </w:t>
      </w:r>
      <w:r>
        <w:t xml:space="preserve">This is the front door. The user asks things in natural language (“what did I promise Marko?”, “what is open this week?”, “prepare me for tomorrow meeting”), and Cogeto answers by retrieving from memory, drafts replies, and proposes tasks and actions, which then go through approval. The fast-path retrieval lives here, and most usage happens here.</w:t>
      </w:r>
    </w:p>
    <w:p>
      <w:pPr>
        <w:pStyle w:val="ListParagraph"/>
        <w:numPr>
          <w:ilvl w:val="0"/>
          <w:numId w:val="2"/>
        </w:numPr>
        <w:spacing w:after="80" w:line="272"/>
      </w:pPr>
      <w:r>
        <w:rPr>
          <w:b/>
          <w:bCs/>
        </w:rPr>
        <w:t xml:space="preserve">Dashboard (structured UI), the management and governance surface. </w:t>
      </w:r>
      <w:r>
        <w:t xml:space="preserve">This is where the user audits what Cogeto knows: see, search, edit, correct, and delete memories, view status flags, and trace each fact back to its source. It is deliberately not conversational. It is a browse-and-manage view.</w:t>
      </w:r>
    </w:p>
    <w:p>
      <w:pPr>
        <w:spacing w:after="140" w:line="276"/>
      </w:pPr>
      <w:r>
        <w:t xml:space="preserve">The mental model: chat is how you use your memory, and the dashboard is how you govern it. Most memory products have only the chat. Cogeto moat (correctable memory) specifically requires the dashboard, because you cannot correct what you cannot see. Neither surface is optional in v1.</w:t>
      </w:r>
    </w:p>
    <w:p>
      <w:pPr>
        <w:pStyle w:val="Heading2"/>
      </w:pPr>
      <w:r>
        <w:t xml:space="preserve">3.1 Private long-term memory</w:t>
      </w:r>
    </w:p>
    <w:p>
      <w:pPr>
        <w:spacing w:after="140" w:line="276"/>
      </w:pPr>
      <w:r>
        <w:t xml:space="preserve">Cogeto remembers useful context over time: people, projects, decisions, preferences, commitments, important notes, and recurring patterns.</w:t>
      </w:r>
    </w:p>
    <w:p>
      <w:pPr>
        <w:pStyle w:val="Heading2"/>
      </w:pPr>
      <w:r>
        <w:t xml:space="preserve">3.2 Shared and private memory scopes</w:t>
      </w:r>
    </w:p>
    <w:p>
      <w:pPr>
        <w:spacing w:after="140" w:line="276"/>
      </w:pPr>
      <w:r>
        <w:t xml:space="preserve">Every memory carries an </w:t>
      </w:r>
      <w:r>
        <w:rPr>
          <w:b/>
          <w:bCs/>
        </w:rPr>
        <w:t xml:space="preserve">owner_id</w:t>
      </w:r>
      <w:r>
        <w:t xml:space="preserve"> and a </w:t>
      </w:r>
      <w:r>
        <w:rPr>
          <w:b/>
          <w:bCs/>
        </w:rPr>
        <w:t xml:space="preserve">scope</w:t>
      </w:r>
      <w:r>
        <w:t xml:space="preserve">. v1 ships two scopes: </w:t>
      </w:r>
      <w:r>
        <w:rPr>
          <w:b/>
          <w:bCs/>
        </w:rPr>
        <w:t xml:space="preserve">private</w:t>
      </w:r>
      <w:r>
        <w:t xml:space="preserve"> (visible only to the owning user) and </w:t>
      </w:r>
      <w:r>
        <w:rPr>
          <w:b/>
          <w:bCs/>
        </w:rPr>
        <w:t xml:space="preserve">shared</w:t>
      </w:r>
      <w:r>
        <w:t xml:space="preserve"> (visible to others in the same account or team). This makes the agency case work without putting people in one chat: collaboration happens through shared memory, not a shared thread. Person A asks “what did we decide on the Luka account” and reads the shared scope that Person B contributed to.</w:t>
      </w:r>
    </w:p>
    <w:p>
      <w:pPr>
        <w:spacing w:after="140" w:line="276"/>
      </w:pPr>
      <w:r>
        <w:rPr>
          <w:b/>
          <w:bCs/>
        </w:rPr>
        <w:t xml:space="preserve">Day-one decision. </w:t>
      </w:r>
      <w:r>
        <w:t xml:space="preserve">Scope-addressable memory is a non-negotiable data-model choice. Retrofitting it later is a rewrite, so it ships from the first commit. The </w:t>
      </w:r>
      <w:r>
        <w:rPr>
          <w:b/>
          <w:bCs/>
        </w:rPr>
        <w:t xml:space="preserve">sensitive</w:t>
      </w:r>
      <w:r>
        <w:t xml:space="preserve"> and </w:t>
      </w:r>
      <w:r>
        <w:rPr>
          <w:b/>
          <w:bCs/>
        </w:rPr>
        <w:t xml:space="preserve">user-approved</w:t>
      </w:r>
      <w:r>
        <w:t xml:space="preserve"> quality flags also gate visibility, so scoping and the memory-quality engine reinforce each other.</w:t>
      </w:r>
    </w:p>
    <w:p>
      <w:pPr>
        <w:pStyle w:val="Heading2"/>
      </w:pPr>
      <w:r>
        <w:t xml:space="preserve">3.3 Memory quality engine (the moat)</w:t>
      </w:r>
    </w:p>
    <w:p>
      <w:pPr>
        <w:spacing w:after="140" w:line="276"/>
      </w:pPr>
      <w:r>
        <w:t xml:space="preserve">This is the part competitors do not prioritize and the reason Cogeto exists. Every memory is inspectable, editable, deletable, and source-linked, and carries a status:</w:t>
      </w:r>
    </w:p>
    <w:p>
      <w:pPr>
        <w:pStyle w:val="ListParagraph"/>
        <w:numPr>
          <w:ilvl w:val="0"/>
          <w:numId w:val="2"/>
        </w:numPr>
        <w:spacing w:after="80" w:line="272"/>
      </w:pPr>
      <w:r>
        <w:rPr>
          <w:b/>
          <w:bCs/>
        </w:rPr>
        <w:t xml:space="preserve">active</w:t>
      </w:r>
      <w:r>
        <w:t xml:space="preserve">: current and trusted.</w:t>
      </w:r>
    </w:p>
    <w:p>
      <w:pPr>
        <w:pStyle w:val="ListParagraph"/>
        <w:numPr>
          <w:ilvl w:val="0"/>
          <w:numId w:val="2"/>
        </w:numPr>
        <w:spacing w:after="80" w:line="272"/>
      </w:pPr>
      <w:r>
        <w:rPr>
          <w:b/>
          <w:bCs/>
        </w:rPr>
        <w:t xml:space="preserve">outdated</w:t>
      </w:r>
      <w:r>
        <w:t xml:space="preserve">: superseded by time.</w:t>
      </w:r>
    </w:p>
    <w:p>
      <w:pPr>
        <w:pStyle w:val="ListParagraph"/>
        <w:numPr>
          <w:ilvl w:val="0"/>
          <w:numId w:val="2"/>
        </w:numPr>
        <w:spacing w:after="80" w:line="272"/>
      </w:pPr>
      <w:r>
        <w:rPr>
          <w:b/>
          <w:bCs/>
        </w:rPr>
        <w:t xml:space="preserve">contradicted</w:t>
      </w:r>
      <w:r>
        <w:t xml:space="preserve">: conflicts with another memory.</w:t>
      </w:r>
    </w:p>
    <w:p>
      <w:pPr>
        <w:pStyle w:val="ListParagraph"/>
        <w:numPr>
          <w:ilvl w:val="0"/>
          <w:numId w:val="2"/>
        </w:numPr>
        <w:spacing w:after="80" w:line="272"/>
      </w:pPr>
      <w:r>
        <w:rPr>
          <w:b/>
          <w:bCs/>
        </w:rPr>
        <w:t xml:space="preserve">uncertain</w:t>
      </w:r>
      <w:r>
        <w:t xml:space="preserve">: low confidence, needs review.</w:t>
      </w:r>
    </w:p>
    <w:p>
      <w:pPr>
        <w:pStyle w:val="ListParagraph"/>
        <w:numPr>
          <w:ilvl w:val="0"/>
          <w:numId w:val="2"/>
        </w:numPr>
        <w:spacing w:after="80" w:line="272"/>
      </w:pPr>
      <w:r>
        <w:rPr>
          <w:b/>
          <w:bCs/>
        </w:rPr>
        <w:t xml:space="preserve">replaced</w:t>
      </w:r>
      <w:r>
        <w:t xml:space="preserve">: a newer memory took its place.</w:t>
      </w:r>
    </w:p>
    <w:p>
      <w:pPr>
        <w:pStyle w:val="ListParagraph"/>
        <w:numPr>
          <w:ilvl w:val="0"/>
          <w:numId w:val="2"/>
        </w:numPr>
        <w:spacing w:after="80" w:line="272"/>
      </w:pPr>
      <w:r>
        <w:rPr>
          <w:b/>
          <w:bCs/>
        </w:rPr>
        <w:t xml:space="preserve">user-approved</w:t>
      </w:r>
      <w:r>
        <w:t xml:space="preserve">: confirmed by the user.</w:t>
      </w:r>
    </w:p>
    <w:p>
      <w:pPr>
        <w:pStyle w:val="ListParagraph"/>
        <w:numPr>
          <w:ilvl w:val="0"/>
          <w:numId w:val="2"/>
        </w:numPr>
        <w:spacing w:after="80" w:line="272"/>
      </w:pPr>
      <w:r>
        <w:rPr>
          <w:b/>
          <w:bCs/>
        </w:rPr>
        <w:t xml:space="preserve">sensitive</w:t>
      </w:r>
      <w:r>
        <w:t xml:space="preserve">: restricted, affects visibility.</w:t>
      </w:r>
    </w:p>
    <w:p>
      <w:pPr>
        <w:spacing w:after="140" w:line="276"/>
      </w:pPr>
      <w:r>
        <w:t xml:space="preserve">The product principle, stated plainly: AI memory must be correctable, inspectable, and allowed to become outdated. Cogeto remembers responsibly, and shows its work.</w:t>
      </w:r>
    </w:p>
    <w:p>
      <w:pPr>
        <w:pStyle w:val="Heading2"/>
      </w:pPr>
      <w:r>
        <w:t xml:space="preserve">3.4 Identity, logins, and SSO (Zitadel from day one)</w:t>
      </w:r>
    </w:p>
    <w:p>
      <w:pPr>
        <w:spacing w:after="140" w:line="276"/>
      </w:pPr>
      <w:r>
        <w:t xml:space="preserve">Cogeto uses </w:t>
      </w:r>
      <w:r>
        <w:rPr>
          <w:b/>
          <w:bCs/>
        </w:rPr>
        <w:t xml:space="preserve">Zitadel</w:t>
      </w:r>
      <w:r>
        <w:t xml:space="preserve"> as its identity layer from v1, not a deferred add-on. It handles registration, logins, and SSO (log in with Google or Microsoft, and enterprise SSO when needed). Rationale: it is AGPLv3 (same license as Cogeto, no compatibility friction), built organizations-first (Instance, then Organization, then Project, then Application, so an agency is an Organization and its staff are users), runs as a single Go binary with Postgres at roughly 100 MB RAM, and ships a tamper-evident audit trail out of the box that strengthens the approval and audit story.</w:t>
      </w:r>
    </w:p>
    <w:p>
      <w:pPr>
        <w:spacing w:after="140" w:line="276"/>
      </w:pPr>
      <w:r>
        <w:rPr>
          <w:b/>
          <w:bCs/>
        </w:rPr>
        <w:t xml:space="preserve">Critical boundary. </w:t>
      </w:r>
      <w:r>
        <w:t xml:space="preserve">Zitadel answers “who is this user and what org or roles do they have.” It does not decide which memories they can see. Memory scoping is Cogeto own backend logic. The two meet at one seam: Zitadel asserts identity and roles, then Cogeto filters memory to the scopes those roles may read. A thin identity abstraction sits between Cogeto and Zitadel so the rest of the system never calls Zitadel directly.</w:t>
      </w:r>
    </w:p>
    <w:p>
      <w:pPr>
        <w:pStyle w:val="Heading2"/>
      </w:pPr>
      <w:r>
        <w:t xml:space="preserve">3.5 Integrations (v1: three, no more)</w:t>
      </w:r>
    </w:p>
    <w:p>
      <w:pPr>
        <w:pStyle w:val="ListParagraph"/>
        <w:numPr>
          <w:ilvl w:val="0"/>
          <w:numId w:val="2"/>
        </w:numPr>
        <w:spacing w:after="80" w:line="272"/>
      </w:pPr>
      <w:r>
        <w:rPr>
          <w:b/>
          <w:bCs/>
        </w:rPr>
        <w:t xml:space="preserve">Email</w:t>
      </w:r>
    </w:p>
    <w:p>
      <w:pPr>
        <w:pStyle w:val="ListParagraph"/>
        <w:numPr>
          <w:ilvl w:val="0"/>
          <w:numId w:val="2"/>
        </w:numPr>
        <w:spacing w:after="80" w:line="272"/>
      </w:pPr>
      <w:r>
        <w:rPr>
          <w:b/>
          <w:bCs/>
        </w:rPr>
        <w:t xml:space="preserve">Calendar</w:t>
      </w:r>
    </w:p>
    <w:p>
      <w:pPr>
        <w:pStyle w:val="ListParagraph"/>
        <w:numPr>
          <w:ilvl w:val="0"/>
          <w:numId w:val="2"/>
        </w:numPr>
        <w:spacing w:after="80" w:line="272"/>
      </w:pPr>
      <w:r>
        <w:rPr>
          <w:b/>
          <w:bCs/>
        </w:rPr>
        <w:t xml:space="preserve">Notes</w:t>
      </w:r>
      <w:r>
        <w:t xml:space="preserve"> (manual capture and quick text in)</w:t>
      </w:r>
    </w:p>
    <w:p>
      <w:pPr>
        <w:spacing w:after="140" w:line="276"/>
      </w:pPr>
      <w:r>
        <w:t xml:space="preserve">Three is enough to deliver the day-one job. More connectors are a Later expansion, not a v1 requirement.</w:t>
      </w:r>
    </w:p>
    <w:p>
      <w:pPr>
        <w:pStyle w:val="Heading2"/>
      </w:pPr>
      <w:r>
        <w:t xml:space="preserve">3.6 Tasks, reminders, and digests</w:t>
      </w:r>
    </w:p>
    <w:p>
      <w:pPr>
        <w:spacing w:after="140" w:line="276"/>
      </w:pPr>
      <w:r>
        <w:t xml:space="preserve">Memory turns into action: todos, reminders, follow-ups, an open-loops list, a daily digest, and meeting prep. Cogeto extracts structure from a quick note. For example, “Send proposal to Luka after he confirms budget” becomes person (Luka), topic (proposal), condition (after budget confirmation), task (send proposal), and status (waiting).</w:t>
      </w:r>
    </w:p>
    <w:p>
      <w:pPr>
        <w:pStyle w:val="Heading2"/>
      </w:pPr>
      <w:r>
        <w:t xml:space="preserve">3.7 Human-approved agents (standard, always)</w:t>
      </w:r>
    </w:p>
    <w:p>
      <w:pPr>
        <w:spacing w:after="140" w:line="276"/>
      </w:pPr>
      <w:r>
        <w:t xml:space="preserve">Cogeto can draft emails, prepare replies, summarize documents, organize, suggest next actions, and update memory, but consequential actions require explicit approval. Cogeto never sends important messages, deletes data, makes purchases, or acts as the user without confirmation. This is standard, baked-in behavior, not a sellable differentiator (approval gates are becoming table stakes), but it is non-negotiable for the trust story.</w:t>
      </w:r>
    </w:p>
    <w:p>
      <w:pPr>
        <w:pStyle w:val="Heading2"/>
      </w:pPr>
      <w:r>
        <w:t xml:space="preserve">3.8 Document ingestion and memory extraction</w:t>
      </w:r>
    </w:p>
    <w:p>
      <w:pPr>
        <w:spacing w:after="140" w:line="276"/>
      </w:pPr>
      <w:r>
        <w:t xml:space="preserve">Cogeto remembers from documents (PDF, DOCX, and similar) and notes through an extraction pipeline, not by dumping raw text into the store. The flow:</w:t>
      </w:r>
    </w:p>
    <w:p>
      <w:pPr>
        <w:pStyle w:val="ListParagraph"/>
        <w:numPr>
          <w:ilvl w:val="0"/>
          <w:numId w:val="3"/>
        </w:numPr>
        <w:spacing w:after="80" w:line="272"/>
      </w:pPr>
      <w:r>
        <w:rPr>
          <w:b/>
          <w:bCs/>
        </w:rPr>
        <w:t xml:space="preserve">Ingest</w:t>
      </w:r>
      <w:r>
        <w:t xml:space="preserve">: read raw text. PDFs are text-extracted first.</w:t>
      </w:r>
    </w:p>
    <w:p>
      <w:pPr>
        <w:pStyle w:val="ListParagraph"/>
        <w:numPr>
          <w:ilvl w:val="0"/>
          <w:numId w:val="3"/>
        </w:numPr>
        <w:spacing w:after="80" w:line="272"/>
      </w:pPr>
      <w:r>
        <w:rPr>
          <w:b/>
          <w:bCs/>
        </w:rPr>
        <w:t xml:space="preserve">Chunk</w:t>
      </w:r>
      <w:r>
        <w:t xml:space="preserve">: split long documents into manageable pieces for accurate extraction.</w:t>
      </w:r>
    </w:p>
    <w:p>
      <w:pPr>
        <w:pStyle w:val="ListParagraph"/>
        <w:numPr>
          <w:ilvl w:val="0"/>
          <w:numId w:val="3"/>
        </w:numPr>
        <w:spacing w:after="80" w:line="272"/>
      </w:pPr>
      <w:r>
        <w:rPr>
          <w:b/>
          <w:bCs/>
        </w:rPr>
        <w:t xml:space="preserve">Extract</w:t>
      </w:r>
      <w:r>
        <w:t xml:space="preserve">: the model pulls durable facts, decisions, people, dates, and commitments into structured data.</w:t>
      </w:r>
    </w:p>
    <w:p>
      <w:pPr>
        <w:pStyle w:val="ListParagraph"/>
        <w:numPr>
          <w:ilvl w:val="0"/>
          <w:numId w:val="3"/>
        </w:numPr>
        <w:spacing w:after="80" w:line="272"/>
      </w:pPr>
      <w:r>
        <w:rPr>
          <w:b/>
          <w:bCs/>
        </w:rPr>
        <w:t xml:space="preserve">Embed and store</w:t>
      </w:r>
      <w:r>
        <w:t xml:space="preserve">: each clean fact becomes a vector, tagged with scope, source link, and quality status.</w:t>
      </w:r>
    </w:p>
    <w:p>
      <w:pPr>
        <w:pStyle w:val="ListParagraph"/>
        <w:numPr>
          <w:ilvl w:val="0"/>
          <w:numId w:val="3"/>
        </w:numPr>
        <w:spacing w:after="80" w:line="272"/>
      </w:pPr>
      <w:r>
        <w:rPr>
          <w:b/>
          <w:bCs/>
        </w:rPr>
        <w:t xml:space="preserve">Reconcile</w:t>
      </w:r>
      <w:r>
        <w:t xml:space="preserve">: check against existing memories for duplicates and contradictions, updating statuses.</w:t>
      </w:r>
    </w:p>
    <w:p>
      <w:pPr>
        <w:spacing w:after="140" w:line="276"/>
      </w:pPr>
      <w:r>
        <w:rPr>
          <w:b/>
          <w:bCs/>
        </w:rPr>
        <w:t xml:space="preserve">The rule: </w:t>
      </w:r>
      <w:r>
        <w:t xml:space="preserve">store the extracted facts, not the raw document, in memory. A document is read, distilled into a handful of clean memories, and those memories carry a link back to the source. Dumping whole documents into the vector store is the failure mode that pollutes memory quality, so Cogeto avoids it by design.</w:t>
      </w:r>
    </w:p>
    <w:p>
      <w:pPr>
        <w:pStyle w:val="Heading2"/>
      </w:pPr>
      <w:r>
        <w:t xml:space="preserve">3.9 File storage and deletion</w:t>
      </w:r>
    </w:p>
    <w:p>
      <w:pPr>
        <w:spacing w:after="140" w:line="276"/>
      </w:pPr>
      <w:r>
        <w:t xml:space="preserve">Original uploaded files (the actual PDF or DOCX bytes) are </w:t>
      </w:r>
      <w:r>
        <w:rPr>
          <w:b/>
          <w:bCs/>
        </w:rPr>
        <w:t xml:space="preserve">stored by default</w:t>
      </w:r>
      <w:r>
        <w:t xml:space="preserve"> in EU object storage, encrypted at rest, tagged to the owning user and scope (private or shared), and respecting the </w:t>
      </w:r>
      <w:r>
        <w:rPr>
          <w:b/>
          <w:bCs/>
        </w:rPr>
        <w:t xml:space="preserve">sensitive</w:t>
      </w:r>
      <w:r>
        <w:t xml:space="preserve"> flag. This makes source-linking literal: a user can click a fact and open the exact source it came from, which directly serves the inspectable, correctable memory moat, and allows later re-processing.</w:t>
      </w:r>
    </w:p>
    <w:p>
      <w:pPr>
        <w:spacing w:after="140" w:line="276"/>
      </w:pPr>
      <w:r>
        <w:t xml:space="preserve">Because Cogeto becomes custodian of full sensitive files, deletion is first-class: </w:t>
      </w:r>
      <w:r>
        <w:rPr>
          <w:b/>
          <w:bCs/>
        </w:rPr>
        <w:t xml:space="preserve">deleting a document removes the file and every memory derived from it</w:t>
      </w:r>
      <w:r>
        <w:t xml:space="preserve"> (true deletion, not hiding). This requires that every memory record knows its source file from day one, which is the same source link already being built. An optional </w:t>
      </w:r>
      <w:r>
        <w:rPr>
          <w:b/>
          <w:bCs/>
        </w:rPr>
        <w:t xml:space="preserve">extract-and-discard</w:t>
      </w:r>
      <w:r>
        <w:t xml:space="preserve"> privacy mode lets users keep only the derived memories and discard the original file.</w:t>
      </w:r>
    </w:p>
    <w:p>
      <w:pPr>
        <w:spacing w:after="140" w:line="276"/>
      </w:pPr>
      <w:r>
        <w:rPr>
          <w:b/>
          <w:bCs/>
        </w:rPr>
        <w:t xml:space="preserve">Storage technology: MinIO, accessed via the S3 API. </w:t>
      </w:r>
      <w:r>
        <w:t xml:space="preserve">Files are stored as objects under scoped keys (tenant, then user, then scope, then file with a UUID), with the file metadata (key, owner, scope, sensitive flag, upload date) held as a row in Postgres. Postgres holds the facts and pointers, while object storage holds the actual bytes, joined by the file key. MinIO is open source and S3-compatible, so it drops into docker compose for self-hosters and runs alongside each managed instance, keeping files on infrastructure we control (on-brand for “nothing leaves the EU box”). Because the code is written once against the S3 API, the same backend can point at MinIO locally, MinIO on a managed instance, or a European S3-compatible cloud (Scaleway, OVHcloud, Hetzner, Exoscale) without a rewrite, chosen per deployment. Retrieval for the user uses short-lived signed URLs. AWS S3 and Cloudflare R2 are deliberately not the default, since data-sovereignty clarity is part of the pitch.</w:t>
      </w:r>
    </w:p>
    <w:p>
      <w:pPr>
        <w:pStyle w:val="Heading2"/>
      </w:pPr>
      <w:r>
        <w:t xml:space="preserve">3.10 Memory dashboard</w:t>
      </w:r>
    </w:p>
    <w:p>
      <w:pPr>
        <w:spacing w:after="140" w:line="276"/>
      </w:pPr>
      <w:r>
        <w:t xml:space="preserve">A clean UI to see, search, edit, correct, and delete memories, with source links back to the email, event, or note each fact came from. This is the governance surface: where correctable memory becomes visible and where trust is won. It complements the conversational chat, which is where the user asks questions and acts on memory day to day.</w:t>
      </w:r>
    </w:p>
    <w:p>
      <w:pPr>
        <w:pBdr>
          <w:bottom w:val="single" w:color="C9D6E0" w:sz="6" w:space="1"/>
        </w:pBdr>
        <w:spacing w:after="120" w:before="40"/>
      </w:pPr>
      <w:r>
        <w:t xml:space="preserve"/>
      </w:r>
    </w:p>
    <w:p>
      <w:pPr>
        <w:pStyle w:val="Heading1"/>
      </w:pPr>
      <w:r>
        <w:t xml:space="preserve">4. Technical architecture</w:t>
      </w:r>
    </w:p>
    <w:p>
      <w:pPr>
        <w:pStyle w:val="Heading2"/>
      </w:pPr>
      <w:r>
        <w:t xml:space="preserve">4.1 Model approach: Mistral-first, Mistral-only for v1</w:t>
      </w:r>
    </w:p>
    <w:p>
      <w:pPr>
        <w:spacing w:after="140" w:line="276"/>
      </w:pPr>
      <w:r>
        <w:t xml:space="preserve">Cogeto is Mistral-first as its European identity, and for v1 it is Mistral-only. Model-agnostic routing (local models, OpenAI, Claude, Gemini, per-task routing) is architecturally kept open but not built or exposed in v1. One model, working well, beats a routing layer nobody asked for yet.</w:t>
      </w:r>
    </w:p>
    <w:p>
      <w:pPr>
        <w:pStyle w:val="Heading2"/>
      </w:pPr>
      <w:r>
        <w:t xml:space="preserve">4.2 Utility-model seam (design now, deploy local later)</w:t>
      </w:r>
    </w:p>
    <w:p>
      <w:pPr>
        <w:spacing w:after="140" w:line="276"/>
      </w:pPr>
      <w:r>
        <w:t xml:space="preserve">All model calls go through a swappable interface, not directly to Mistral. v1 runs everything on the Mistral API, including the high-volume background work: classification, extraction, deduplication, contradiction checks, and memory consolidation (the consolidation job, informally the “dreaming” job).</w:t>
      </w:r>
    </w:p>
    <w:p>
      <w:pPr>
        <w:spacing w:after="140" w:line="276"/>
      </w:pPr>
      <w:r>
        <w:t xml:space="preserve">A small local model (for example Qwen 2.5 7B via Ollama, containerized into </w:t>
      </w:r>
      <w:r>
        <w:rPr>
          <w:b/>
          <w:bCs/>
        </w:rPr>
        <w:t xml:space="preserve">docker compose</w:t>
      </w:r>
      <w:r>
        <w:t xml:space="preserve">) is an optional, later addition behind this same seam. Its justification is privacy (local PII screening so sensitive content never leaves the box, which reinforces the EU story) and flat, predictable cost at high volume, not early savings, since at small scale the Mistral API is cheaper than running a box.</w:t>
      </w:r>
    </w:p>
    <w:p>
      <w:pPr>
        <w:spacing w:after="140" w:line="276"/>
      </w:pPr>
      <w:r>
        <w:t xml:space="preserve">The local model, if added, owns only behind-the-scenes work (classification, extraction, screening, consolidation) and never produces the user-facing answer, which always stays on the primary model. When deployed local, co-locate it on existing infrastructure rather than a dedicated per-tenant box, to protect margin.</w:t>
      </w:r>
    </w:p>
    <w:p>
      <w:pPr>
        <w:pStyle w:val="Heading2"/>
      </w:pPr>
      <w:r>
        <w:t xml:space="preserve">4.3 Fast path and slow path (why Cogeto is not slow)</w:t>
      </w:r>
    </w:p>
    <w:p>
      <w:pPr>
        <w:spacing w:after="140" w:line="276"/>
      </w:pPr>
      <w:r>
        <w:t xml:space="preserve">Doing memory responsibly (contradiction checks, status tracking, consolidation) is more work per memory, so it could feel slow. It will not, because of one rule: separate the fast path from the slow path.</w:t>
      </w:r>
    </w:p>
    <w:p>
      <w:pPr>
        <w:pStyle w:val="ListParagraph"/>
        <w:numPr>
          <w:ilvl w:val="0"/>
          <w:numId w:val="2"/>
        </w:numPr>
        <w:spacing w:after="80" w:line="272"/>
      </w:pPr>
      <w:r>
        <w:rPr>
          <w:b/>
          <w:bCs/>
        </w:rPr>
        <w:t xml:space="preserve">Fast path (synchronous, instant): </w:t>
      </w:r>
      <w:r>
        <w:t xml:space="preserve">retrieval and answering. When the user asks something, Cogeto does hybrid retrieval and responds immediately. The user never waits on memory maintenance.</w:t>
      </w:r>
    </w:p>
    <w:p>
      <w:pPr>
        <w:pStyle w:val="ListParagraph"/>
        <w:numPr>
          <w:ilvl w:val="0"/>
          <w:numId w:val="2"/>
        </w:numPr>
        <w:spacing w:after="80" w:line="272"/>
      </w:pPr>
      <w:r>
        <w:rPr>
          <w:b/>
          <w:bCs/>
        </w:rPr>
        <w:t xml:space="preserve">Slow path (asynchronous, background): </w:t>
      </w:r>
      <w:r>
        <w:t xml:space="preserve">extraction, deduplication, contradiction detection, status updates, and consolidation run after the response is delivered, as background jobs.</w:t>
      </w:r>
    </w:p>
    <w:p>
      <w:pPr>
        <w:spacing w:after="140" w:line="276"/>
      </w:pPr>
      <w:r>
        <w:t xml:space="preserve">So the responsible work, which is the moat, happens off the critical path. The user feels a fast assistant while the trust machinery runs quietly behind it. This is a hard architectural commitment, not an optimization to add later.</w:t>
      </w:r>
    </w:p>
    <w:p>
      <w:pPr>
        <w:pStyle w:val="Heading2"/>
      </w:pPr>
      <w:r>
        <w:t xml:space="preserve">4.4 Retrieval approach</w:t>
      </w:r>
    </w:p>
    <w:p>
      <w:pPr>
        <w:spacing w:after="140" w:line="276"/>
      </w:pPr>
      <w:r>
        <w:t xml:space="preserve">Retrieval is multi-signal and fused: semantic vector search, keyword matching, and entity matching scored together, with the memory-quality status and scope filters applied so the user only ever retrieves memories they are allowed to see and that are currently trusted. Outdated and replaced memories are demoted rather than surfaced as current fact.</w:t>
      </w:r>
    </w:p>
    <w:p>
      <w:pPr>
        <w:pStyle w:val="Heading2"/>
      </w:pPr>
      <w:r>
        <w:t xml:space="preserve">4.5 Component overview</w:t>
      </w:r>
    </w:p>
    <w:p>
      <w:pPr>
        <w:spacing w:after="140" w:line="276"/>
      </w:pPr>
      <w:r>
        <w:t xml:space="preserve">The hosted Cogeto stack is composed of the following services, all runnable through a single docker compose for self-hosters and packaged per-instance for the managed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Component</w:t>
            </w:r>
          </w:p>
        </w:tc>
        <w:tc>
          <w:tcPr>
            <w:tcW w:type="dxa" w:w="676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Responsibility</w:t>
            </w:r>
          </w:p>
        </w:tc>
      </w:tr>
      <w:tr>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Web application</w:t>
            </w:r>
          </w:p>
        </w:tc>
        <w:tc>
          <w:tcPr>
            <w:tcW w:type="dxa" w:w="6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Two surfaces: conversational chat (ask, recall, draft, approve) and the memory dashboard (inspect, correct, delete, trace sources). Also tasks and digests.</w:t>
            </w:r>
          </w:p>
        </w:tc>
      </w:tr>
      <w:tr>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Memory service</w:t>
            </w:r>
          </w:p>
        </w:tc>
        <w:tc>
          <w:tcPr>
            <w:tcW w:type="dxa" w:w="67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Extraction, embedding, scope tagging, quality status, reconciliation.</w:t>
            </w:r>
          </w:p>
        </w:tc>
      </w:tr>
      <w:tr>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Agent orchestrator</w:t>
            </w:r>
          </w:p>
        </w:tc>
        <w:tc>
          <w:tcPr>
            <w:tcW w:type="dxa" w:w="6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Runs workflows and prepares actions, all gated by human approval.</w:t>
            </w:r>
          </w:p>
        </w:tc>
      </w:tr>
      <w:tr>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Identity (Zitadel)</w:t>
            </w:r>
          </w:p>
        </w:tc>
        <w:tc>
          <w:tcPr>
            <w:tcW w:type="dxa" w:w="67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Registration, login, SSO, organizations, roles, audit trail.</w:t>
            </w:r>
          </w:p>
        </w:tc>
      </w:tr>
      <w:tr>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Model gateway</w:t>
            </w:r>
          </w:p>
        </w:tc>
        <w:tc>
          <w:tcPr>
            <w:tcW w:type="dxa" w:w="6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Swappable seam to Mistral now, local model later. All model calls route here.</w:t>
            </w:r>
          </w:p>
        </w:tc>
      </w:tr>
      <w:tr>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Vector database</w:t>
            </w:r>
          </w:p>
        </w:tc>
        <w:tc>
          <w:tcPr>
            <w:tcW w:type="dxa" w:w="67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Stores and searches memory embeddings.</w:t>
            </w:r>
          </w:p>
        </w:tc>
      </w:tr>
      <w:tr>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Postgres</w:t>
            </w:r>
          </w:p>
        </w:tc>
        <w:tc>
          <w:tcPr>
            <w:tcW w:type="dxa" w:w="6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Relational data: users, scopes, tasks, memory metadata, audit.</w:t>
            </w:r>
          </w:p>
        </w:tc>
      </w:tr>
      <w:tr>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Object storage (MinIO, S3 API)</w:t>
            </w:r>
          </w:p>
        </w:tc>
        <w:tc>
          <w:tcPr>
            <w:tcW w:type="dxa" w:w="67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Encrypted original files (PDF, DOCX), EU-hosted, scope-tagged, deletable.</w:t>
            </w:r>
          </w:p>
        </w:tc>
      </w:tr>
      <w:tr>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Connector service</w:t>
            </w:r>
          </w:p>
        </w:tc>
        <w:tc>
          <w:tcPr>
            <w:tcW w:type="dxa" w:w="6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Email, calendar, and notes ingestion.</w:t>
            </w:r>
          </w:p>
        </w:tc>
      </w:tr>
      <w:tr>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Background workers</w:t>
            </w:r>
          </w:p>
        </w:tc>
        <w:tc>
          <w:tcPr>
            <w:tcW w:type="dxa" w:w="67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Slow-path jobs: extraction, dedup, contradiction checks, consolidation, reminders.</w:t>
            </w:r>
          </w:p>
        </w:tc>
      </w:tr>
    </w:tbl>
    <w:p>
      <w:pPr>
        <w:pStyle w:val="Heading2"/>
      </w:pPr>
      <w:r>
        <w:t xml:space="preserve">4.6 Deployment topology</w:t>
      </w:r>
    </w:p>
    <w:p>
      <w:pPr>
        <w:spacing w:after="140" w:line="276"/>
      </w:pPr>
      <w:r>
        <w:t xml:space="preserve">Cogeto has two paths in v1, with clear priority:</w:t>
      </w:r>
    </w:p>
    <w:p>
      <w:pPr>
        <w:spacing w:after="140" w:line="276"/>
      </w:pPr>
      <w:r>
        <w:rPr>
          <w:b/>
          <w:bCs/>
        </w:rPr>
        <w:t xml:space="preserve">A. Managed hosted instance (the focus). </w:t>
      </w:r>
      <w:r>
        <w:t xml:space="preserve">We spin up a dedicated, isolated Cogeto instance per customer on EU infrastructure. The user installs nothing. This is “your own private instance,” not “a seat in our SaaS.” Single-tenant isolation is itself the privacy story.</w:t>
      </w:r>
    </w:p>
    <w:p>
      <w:pPr>
        <w:spacing w:after="140" w:line="276"/>
      </w:pPr>
      <w:r>
        <w:rPr>
          <w:b/>
          <w:bCs/>
        </w:rPr>
        <w:t xml:space="preserve">B. Self-hosted, open source (available, unsupported, not promoted). </w:t>
      </w:r>
      <w:r>
        <w:t xml:space="preserve">The code is public and documented. Anyone technical who wants to run their own via Docker can. We do not market to them, build onboarding for them, or support them in v1. It exists for trust, transparency, and community, proof that Cogeto is not a black box. Normal users will not install Docker, and we do not ask them to.</w:t>
      </w:r>
    </w:p>
    <w:p>
      <w:pPr>
        <w:pStyle w:val="Heading2"/>
      </w:pPr>
      <w:r>
        <w:t xml:space="preserve">4.7 Hosting cost guidance</w:t>
      </w:r>
    </w:p>
    <w:p>
      <w:pPr>
        <w:spacing w:after="140" w:line="276"/>
      </w:pPr>
      <w:r>
        <w:t xml:space="preserve">Because the background utility work is asynchronous, a local model (if and when added) does not need a GPU: slower CPU inference is acceptable for batch jobs. Indicative AWS sizing (verify current prices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Option</w:t>
            </w:r>
          </w:p>
        </w:tc>
        <w:tc>
          <w:tcPr>
            <w:tcW w:type="dxa" w:w="260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Indicative monthly cost</w:t>
            </w:r>
          </w:p>
        </w:tc>
        <w:tc>
          <w:tcPr>
            <w:tcW w:type="dxa" w:w="376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Notes</w:t>
            </w:r>
          </w:p>
        </w:tc>
      </w:tr>
      <w:tr>
        <w:tc>
          <w:tcPr>
            <w:tcW w:type="dxa" w:w="30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CPU-only shared box (8 vCPU, 16 GB)</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approx. 220 to 290 USD</w:t>
            </w:r>
          </w:p>
        </w:tc>
        <w:tc>
          <w:tcPr>
            <w:tcW w:type="dxa" w:w="3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Fits a 7B Q4 model (approx. 5 to 6 GB). Good for background work.</w:t>
            </w:r>
          </w:p>
        </w:tc>
      </w:tr>
      <w:tr>
        <w:tc>
          <w:tcPr>
            <w:tcW w:type="dxa" w:w="30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Smallest GPU (T4, 16 GB)</w:t>
            </w:r>
          </w:p>
        </w:tc>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approx. 380 USD on-demand</w:t>
            </w:r>
          </w:p>
        </w:tc>
        <w:tc>
          <w:tcPr>
            <w:tcW w:type="dxa" w:w="37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Snappy if near-real-time local inference is ever wanted.</w:t>
            </w:r>
          </w:p>
        </w:tc>
      </w:tr>
      <w:tr>
        <w:tc>
          <w:tcPr>
            <w:tcW w:type="dxa" w:w="30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Spot instances for batch jobs</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60 to 70 percent cheaper</w:t>
            </w:r>
          </w:p>
        </w:tc>
        <w:tc>
          <w:tcPr>
            <w:tcW w:type="dxa" w:w="37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Ideal for interruptible consolidation and dreaming jobs.</w:t>
            </w:r>
          </w:p>
        </w:tc>
      </w:tr>
    </w:tbl>
    <w:p>
      <w:pPr>
        <w:spacing w:after="140" w:line="276"/>
      </w:pPr>
      <w:r>
        <w:rPr>
          <w:b/>
          <w:bCs/>
        </w:rPr>
        <w:t xml:space="preserve">Cost rule: </w:t>
      </w:r>
      <w:r>
        <w:t xml:space="preserve">do not run one model per tenant 24/7, which would kill margin. Run one shared inference box across instances, or co-locate the model on existing infrastructure (roughly 50 to 100 USD more per box) rather than a dedicated machine. At small scale the Mistral API is cheaper than any local box, so local inference is a privacy and predictability choice first, and a cost choice only at volume.</w:t>
      </w:r>
    </w:p>
    <w:p>
      <w:pPr>
        <w:pBdr>
          <w:bottom w:val="single" w:color="C9D6E0" w:sz="6" w:space="1"/>
        </w:pBdr>
        <w:spacing w:after="120" w:before="40"/>
      </w:pPr>
      <w:r>
        <w:t xml:space="preserve"/>
      </w:r>
    </w:p>
    <w:p>
      <w:pPr>
        <w:pStyle w:val="Heading1"/>
      </w:pPr>
      <w:r>
        <w:t xml:space="preserve">5. Technology stack</w:t>
      </w:r>
    </w:p>
    <w:p>
      <w:pPr>
        <w:spacing w:after="140" w:line="276"/>
      </w:pPr>
      <w:r>
        <w:t xml:space="preserve">The following technologies are selected or recommended for v1. Items marked optional or later are designed for now behind an abstraction, but not deployed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Layer</w:t>
            </w:r>
          </w:p>
        </w:tc>
        <w:tc>
          <w:tcPr>
            <w:tcW w:type="dxa" w:w="406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Technology</w:t>
            </w:r>
          </w:p>
        </w:tc>
        <w:tc>
          <w:tcPr>
            <w:tcW w:type="dxa" w:w="2600"/>
            <w:tcBorders>
              <w:top w:val="single" w:color="C9D6E0" w:sz="1"/>
              <w:left w:val="single" w:color="C9D6E0" w:sz="1"/>
              <w:bottom w:val="single" w:color="C9D6E0" w:sz="1"/>
              <w:right w:val="single" w:color="C9D6E0" w:sz="1"/>
            </w:tcBorders>
            <w:shd w:fill="2E5A7A" w:val="clear"/>
            <w:tcMar>
              <w:top w:type="dxa" w:w="90"/>
              <w:left w:type="dxa" w:w="130"/>
              <w:bottom w:type="dxa" w:w="90"/>
              <w:right w:type="dxa" w:w="130"/>
            </w:tcMar>
          </w:tcPr>
          <w:p>
            <w:pPr>
              <w:spacing w:after="0"/>
            </w:pPr>
            <w:r>
              <w:rPr>
                <w:b/>
                <w:bCs/>
                <w:color w:val="FFFFFF"/>
                <w:sz w:val="20"/>
                <w:szCs w:val="20"/>
              </w:rPr>
              <w:t xml:space="preserve">Status in v1</w:t>
            </w:r>
          </w:p>
        </w:tc>
      </w:tr>
      <w:tr>
        <w:tc>
          <w:tcPr>
            <w:tcW w:type="dxa" w:w="27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Primary model</w:t>
            </w:r>
          </w:p>
        </w:tc>
        <w:tc>
          <w:tcPr>
            <w:tcW w:type="dxa" w:w="40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Mistral (via API)</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v1, only model</w:t>
            </w:r>
          </w:p>
        </w:tc>
      </w:tr>
      <w:tr>
        <w:tc>
          <w:tcPr>
            <w:tcW w:type="dxa" w:w="27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Utility model (background)</w:t>
            </w:r>
          </w:p>
        </w:tc>
        <w:tc>
          <w:tcPr>
            <w:tcW w:type="dxa" w:w="40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Mistral API now; Qwen 2.5 7B via Ollama later</w:t>
            </w:r>
          </w:p>
        </w:tc>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Seam in v1, local later</w:t>
            </w:r>
          </w:p>
        </w:tc>
      </w:tr>
      <w:tr>
        <w:tc>
          <w:tcPr>
            <w:tcW w:type="dxa" w:w="27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Identity and SSO</w:t>
            </w:r>
          </w:p>
        </w:tc>
        <w:tc>
          <w:tcPr>
            <w:tcW w:type="dxa" w:w="40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Zitadel (AGPLv3, Go)</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v1, from day one</w:t>
            </w:r>
          </w:p>
        </w:tc>
      </w:tr>
      <w:tr>
        <w:tc>
          <w:tcPr>
            <w:tcW w:type="dxa" w:w="27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Relational database</w:t>
            </w:r>
          </w:p>
        </w:tc>
        <w:tc>
          <w:tcPr>
            <w:tcW w:type="dxa" w:w="40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PostgreSQL</w:t>
            </w:r>
          </w:p>
        </w:tc>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v1</w:t>
            </w:r>
          </w:p>
        </w:tc>
      </w:tr>
      <w:tr>
        <w:tc>
          <w:tcPr>
            <w:tcW w:type="dxa" w:w="27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Vector database</w:t>
            </w:r>
          </w:p>
        </w:tc>
        <w:tc>
          <w:tcPr>
            <w:tcW w:type="dxa" w:w="40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Pluggable (for example Qdrant)</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v1</w:t>
            </w:r>
          </w:p>
        </w:tc>
      </w:tr>
      <w:tr>
        <w:tc>
          <w:tcPr>
            <w:tcW w:type="dxa" w:w="27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Object storage</w:t>
            </w:r>
          </w:p>
        </w:tc>
        <w:tc>
          <w:tcPr>
            <w:tcW w:type="dxa" w:w="40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MinIO (S3-compatible); EU S3 cloud alt.</w:t>
            </w:r>
          </w:p>
        </w:tc>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v1</w:t>
            </w:r>
          </w:p>
        </w:tc>
      </w:tr>
      <w:tr>
        <w:tc>
          <w:tcPr>
            <w:tcW w:type="dxa" w:w="27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Local inference runtime</w:t>
            </w:r>
          </w:p>
        </w:tc>
        <w:tc>
          <w:tcPr>
            <w:tcW w:type="dxa" w:w="40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Ollama (containerized)</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Optional, later</w:t>
            </w:r>
          </w:p>
        </w:tc>
      </w:tr>
      <w:tr>
        <w:tc>
          <w:tcPr>
            <w:tcW w:type="dxa" w:w="27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Packaging</w:t>
            </w:r>
          </w:p>
        </w:tc>
        <w:tc>
          <w:tcPr>
            <w:tcW w:type="dxa" w:w="40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Docker and docker compose</w:t>
            </w:r>
          </w:p>
        </w:tc>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v1</w:t>
            </w:r>
          </w:p>
        </w:tc>
      </w:tr>
      <w:tr>
        <w:tc>
          <w:tcPr>
            <w:tcW w:type="dxa" w:w="27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Hosting</w:t>
            </w:r>
          </w:p>
        </w:tc>
        <w:tc>
          <w:tcPr>
            <w:tcW w:type="dxa" w:w="406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EU cloud infrastructure</w:t>
            </w:r>
          </w:p>
        </w:tc>
        <w:tc>
          <w:tcPr>
            <w:tcW w:type="dxa" w:w="2600"/>
            <w:tcBorders>
              <w:top w:val="single" w:color="C9D6E0" w:sz="1"/>
              <w:left w:val="single" w:color="C9D6E0" w:sz="1"/>
              <w:bottom w:val="single" w:color="C9D6E0" w:sz="1"/>
              <w:right w:val="single" w:color="C9D6E0" w:sz="1"/>
            </w:tcBorders>
            <w:shd w:fill="FFFFFF" w:val="clear"/>
            <w:tcMar>
              <w:top w:type="dxa" w:w="80"/>
              <w:left w:type="dxa" w:w="130"/>
              <w:bottom w:type="dxa" w:w="80"/>
              <w:right w:type="dxa" w:w="130"/>
            </w:tcMar>
          </w:tcPr>
          <w:p>
            <w:pPr>
              <w:spacing w:after="0" w:line="264"/>
            </w:pPr>
            <w:r>
              <w:rPr>
                <w:sz w:val="20"/>
                <w:szCs w:val="20"/>
              </w:rPr>
              <w:t xml:space="preserve">v1</w:t>
            </w:r>
          </w:p>
        </w:tc>
      </w:tr>
      <w:tr>
        <w:tc>
          <w:tcPr>
            <w:tcW w:type="dxa" w:w="27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License of core</w:t>
            </w:r>
          </w:p>
        </w:tc>
        <w:tc>
          <w:tcPr>
            <w:tcW w:type="dxa" w:w="406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AGPLv3 plus CLA</w:t>
            </w:r>
          </w:p>
        </w:tc>
        <w:tc>
          <w:tcPr>
            <w:tcW w:type="dxa" w:w="2600"/>
            <w:tcBorders>
              <w:top w:val="single" w:color="C9D6E0" w:sz="1"/>
              <w:left w:val="single" w:color="C9D6E0" w:sz="1"/>
              <w:bottom w:val="single" w:color="C9D6E0" w:sz="1"/>
              <w:right w:val="single" w:color="C9D6E0" w:sz="1"/>
            </w:tcBorders>
            <w:shd w:fill="F4F8FB" w:val="clear"/>
            <w:tcMar>
              <w:top w:type="dxa" w:w="80"/>
              <w:left w:type="dxa" w:w="130"/>
              <w:bottom w:type="dxa" w:w="80"/>
              <w:right w:type="dxa" w:w="130"/>
            </w:tcMar>
          </w:tcPr>
          <w:p>
            <w:pPr>
              <w:spacing w:after="0" w:line="264"/>
            </w:pPr>
            <w:r>
              <w:rPr>
                <w:sz w:val="20"/>
                <w:szCs w:val="20"/>
              </w:rPr>
              <w:t xml:space="preserve">v1</w:t>
            </w:r>
          </w:p>
        </w:tc>
      </w:tr>
    </w:tbl>
    <w:p>
      <w:pPr>
        <w:spacing w:after="140" w:line="276"/>
      </w:pPr>
      <w:r>
        <w:rPr>
          <w:b/>
          <w:bCs/>
        </w:rPr>
        <w:t xml:space="preserve">Vector database note: </w:t>
      </w:r>
      <w:r>
        <w:t xml:space="preserve">the store is pluggable behind the memory service. Qdrant is a sensible default given it is widely used as a default in comparable open-source memory stacks, but the choice is not load-bearing for the architecture and can be revisited.</w:t>
      </w:r>
    </w:p>
    <w:p>
      <w:pPr>
        <w:pBdr>
          <w:bottom w:val="single" w:color="C9D6E0" w:sz="6" w:space="1"/>
        </w:pBdr>
        <w:spacing w:after="120" w:before="40"/>
      </w:pPr>
      <w:r>
        <w:t xml:space="preserve"/>
      </w:r>
    </w:p>
    <w:p>
      <w:pPr>
        <w:pStyle w:val="Heading1"/>
      </w:pPr>
      <w:r>
        <w:t xml:space="preserve">6. Business model</w:t>
      </w:r>
    </w:p>
    <w:p>
      <w:pPr>
        <w:spacing w:after="140" w:line="276"/>
      </w:pPr>
      <w:r>
        <w:t xml:space="preserve">A protected open-core, with hosting as the revenue engine.</w:t>
      </w:r>
    </w:p>
    <w:p>
      <w:pPr>
        <w:pStyle w:val="Heading2"/>
      </w:pPr>
      <w:r>
        <w:t xml:space="preserve">6.1 Open-source core (for trust, under a protective license)</w:t>
      </w:r>
    </w:p>
    <w:p>
      <w:pPr>
        <w:spacing w:after="140" w:line="276"/>
      </w:pPr>
      <w:r>
        <w:t xml:space="preserve">The core is open source under a protective license (see Licensing). This buys credibility, transparency, the EU and privacy posture, and proof that Cogeto is not a black box. It is positioned as proof, not as the product.</w:t>
      </w:r>
    </w:p>
    <w:p>
      <w:pPr>
        <w:pStyle w:val="Heading2"/>
      </w:pPr>
      <w:r>
        <w:t xml:space="preserve">6.2 Managed private instances (the recurring revenue)</w:t>
      </w:r>
    </w:p>
    <w:p>
      <w:pPr>
        <w:spacing w:after="140" w:line="276"/>
      </w:pPr>
      <w:r>
        <w:t xml:space="preserve">Customers pay a recurring fee for a dedicated EU-hosted instance that we operate. This is the core business. Pricing is per-instance, not per-seat, reinforcing “your private instance.” Note that single-tenant instances cost more to run than multi-tenant SaaS, so the recurring fee is priced with that in mind, not like a low per-seat SaaS price. The trade of margin for trust is deliberate, because trust is the wedge.</w:t>
      </w:r>
    </w:p>
    <w:p>
      <w:pPr>
        <w:pStyle w:val="Heading2"/>
      </w:pPr>
      <w:r>
        <w:t xml:space="preserve">6.3 Trials (how people commit)</w:t>
      </w:r>
    </w:p>
    <w:p>
      <w:pPr>
        <w:spacing w:after="140" w:line="276"/>
      </w:pPr>
      <w:r>
        <w:t xml:space="preserve">A 14-day free trial on a real spun-up instance. Real data, real value, converting to a paid instance. This fits the “we host it for them” model exactly and lets trust build over days, which is the only timescale on which memory value becomes visible.</w:t>
      </w:r>
    </w:p>
    <w:p>
      <w:pPr>
        <w:pStyle w:val="Heading2"/>
      </w:pPr>
      <w:r>
        <w:t xml:space="preserve">6.4 Demo (sandbox persona, not an open public demo)</w:t>
      </w:r>
    </w:p>
    <w:p>
      <w:pPr>
        <w:spacing w:after="140" w:line="276"/>
      </w:pPr>
      <w:r>
        <w:t xml:space="preserve">A live, open-ended public demo is the wrong format for a memory product, because memory only becomes valuable after days of accumulation, so a stateless two-minute demo shows nothing. Instead, use a pre-populated sandbox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7A" w:sz="18"/>
              <w:bottom w:val="none"/>
              <w:right w:val="none"/>
            </w:tcBorders>
            <w:shd w:fill="EAF1F6" w:val="clear"/>
            <w:tcMar>
              <w:top w:type="dxa" w:w="100"/>
              <w:left w:type="dxa" w:w="200"/>
              <w:bottom w:type="dxa" w:w="100"/>
              <w:right w:type="dxa" w:w="160"/>
            </w:tcMar>
          </w:tcPr>
          <w:p>
            <w:pPr>
              <w:spacing w:after="0" w:line="272"/>
            </w:pPr>
            <w:r>
              <w:rPr>
                <w:b/>
                <w:bCs/>
              </w:rPr>
              <w:t xml:space="preserve">Meet Ana, an independent consultant. </w:t>
            </w:r>
            <w:r>
              <w:t xml:space="preserve">Ask her Cogeto: What did Ana promise Marko? What is open this week? Prepare Ana for tomorrow meeting.</w:t>
            </w:r>
          </w:p>
        </w:tc>
      </w:tr>
    </w:tbl>
    <w:p>
      <w:pPr>
        <w:spacing w:after="140" w:line="276"/>
      </w:pPr>
      <w:r>
        <w:t xml:space="preserve">The visitor instantly sees what accrued, correctable memory looks like, the payoff, without spending a week to get there. It also showcases the memory dashboard (editing, source links, status flags) on safe fake data. This is the public-facing demo, while the trial is the real thing.</w:t>
      </w:r>
    </w:p>
    <w:p>
      <w:pPr>
        <w:pStyle w:val="Heading2"/>
      </w:pPr>
      <w:r>
        <w:t xml:space="preserve">6.5 Enterprise (Later)</w:t>
      </w:r>
    </w:p>
    <w:p>
      <w:pPr>
        <w:spacing w:after="140" w:line="276"/>
      </w:pPr>
      <w:r>
        <w:t xml:space="preserve">Deeper private deployment, advanced compliance certifications, a dedicated admin console, and fine-grained team roles beyond private and shared. Basic logins and SSO are already in v1 via Zitadel. Real revenue eventually, but the depth is not a v1 distraction.</w:t>
      </w:r>
    </w:p>
    <w:p>
      <w:pPr>
        <w:pStyle w:val="Heading2"/>
      </w:pPr>
      <w:r>
        <w:t xml:space="preserve">6.6 Agency and CTO services (Later, and treat as a bridge)</w:t>
      </w:r>
    </w:p>
    <w:p>
      <w:pPr>
        <w:spacing w:after="140" w:line="276"/>
      </w:pPr>
      <w:r>
        <w:t xml:space="preserve">Useful to fund the product early, but it cannibalizes product focus, and it is how a product company quietly becomes a consultancy. Acceptable as a bootstrapping bridge, not the business. Keep it explicitly time-boxed.</w:t>
      </w:r>
    </w:p>
    <w:p>
      <w:pPr>
        <w:pBdr>
          <w:bottom w:val="single" w:color="C9D6E0" w:sz="6" w:space="1"/>
        </w:pBdr>
        <w:spacing w:after="120" w:before="40"/>
      </w:pPr>
      <w:r>
        <w:t xml:space="preserve"/>
      </w:r>
    </w:p>
    <w:p>
      <w:pPr>
        <w:pStyle w:val="Heading1"/>
      </w:pPr>
      <w:r>
        <w:t xml:space="preserve">7. License and IP protection</w:t>
      </w:r>
    </w:p>
    <w:p>
      <w:pPr>
        <w:spacing w:after="140" w:line="276"/>
      </w:pPr>
      <w:r>
        <w:rPr>
          <w:b/>
          <w:bCs/>
        </w:rPr>
        <w:t xml:space="preserve">Recommendation: AGPLv3 plus CLA plus commercial licensing plus trademark. </w:t>
      </w:r>
      <w:r>
        <w:t xml:space="preserve">Each layer protects a different thing. Together they are the standard protected open-core playbook (GitLab, Grafana, Mattermost). Not MIT, because MIT is maximally permissive and gives zero protection: a competitor or cloud provider could take the code, wrap it in a closed managed service, and compete using your own work. For a project whose value is the hosted business, that is the wrong choice.</w:t>
      </w:r>
    </w:p>
    <w:p>
      <w:pPr>
        <w:pStyle w:val="Heading2"/>
      </w:pPr>
      <w:r>
        <w:t xml:space="preserve">7.1 Layer 1: AGPLv3 (protects the code)</w:t>
      </w:r>
    </w:p>
    <w:p>
      <w:pPr>
        <w:pStyle w:val="ListParagraph"/>
        <w:numPr>
          <w:ilvl w:val="0"/>
          <w:numId w:val="2"/>
        </w:numPr>
        <w:spacing w:after="80" w:line="272"/>
      </w:pPr>
      <w:r>
        <w:t xml:space="preserve">Genuine, OSI-approved open source, fully preserving the trust, transparency, and EU posture.</w:t>
      </w:r>
    </w:p>
    <w:p>
      <w:pPr>
        <w:pStyle w:val="ListParagraph"/>
        <w:numPr>
          <w:ilvl w:val="0"/>
          <w:numId w:val="2"/>
        </w:numPr>
        <w:spacing w:after="80" w:line="272"/>
      </w:pPr>
      <w:r>
        <w:t xml:space="preserve">Its network clause means anyone running Cogeto as a service must publish their modifications. This makes fork-and-close commercially unattractive and protects the hosted business.</w:t>
      </w:r>
    </w:p>
    <w:p>
      <w:pPr>
        <w:pStyle w:val="Heading2"/>
      </w:pPr>
      <w:r>
        <w:t xml:space="preserve">7.2 Layer 2: CLA (enables everything below)</w:t>
      </w:r>
    </w:p>
    <w:p>
      <w:pPr>
        <w:pStyle w:val="ListParagraph"/>
        <w:numPr>
          <w:ilvl w:val="0"/>
          <w:numId w:val="2"/>
        </w:numPr>
        <w:spacing w:after="80" w:line="272"/>
      </w:pPr>
      <w:r>
        <w:t xml:space="preserve">Contributors assign rights to their contributions, so you remain legally free to relicense. Without a CLA you cannot dual-license other people code. This layer is what enables commercial licensing.</w:t>
      </w:r>
    </w:p>
    <w:p>
      <w:pPr>
        <w:pStyle w:val="ListParagraph"/>
        <w:numPr>
          <w:ilvl w:val="0"/>
          <w:numId w:val="2"/>
        </w:numPr>
        <w:spacing w:after="80" w:line="272"/>
      </w:pPr>
      <w:r>
        <w:t xml:space="preserve">Get it in place from commit number one. Retrofitting a CLA across existing contributors is painful.</w:t>
      </w:r>
    </w:p>
    <w:p>
      <w:pPr>
        <w:pStyle w:val="Heading2"/>
      </w:pPr>
      <w:r>
        <w:t xml:space="preserve">7.3 Layer 3: Commercial license (the enterprise upsell)</w:t>
      </w:r>
    </w:p>
    <w:p>
      <w:pPr>
        <w:pStyle w:val="ListParagraph"/>
        <w:numPr>
          <w:ilvl w:val="0"/>
          <w:numId w:val="2"/>
        </w:numPr>
        <w:spacing w:after="80" w:line="272"/>
      </w:pPr>
      <w:r>
        <w:t xml:space="preserve">Sell an AGPL exemption to enterprises that cannot accept its obligations. The CLA makes this possible.</w:t>
      </w:r>
    </w:p>
    <w:p>
      <w:pPr>
        <w:pStyle w:val="ListParagraph"/>
        <w:numPr>
          <w:ilvl w:val="0"/>
          <w:numId w:val="2"/>
        </w:numPr>
        <w:spacing w:after="80" w:line="272"/>
      </w:pPr>
      <w:r>
        <w:t xml:space="preserve">No need to build this early. Stand it up when an enterprise actually asks.</w:t>
      </w:r>
    </w:p>
    <w:p>
      <w:pPr>
        <w:pStyle w:val="Heading2"/>
      </w:pPr>
      <w:r>
        <w:t xml:space="preserve">7.4 Layer 4: Trademark (protects the name)</w:t>
      </w:r>
    </w:p>
    <w:p>
      <w:pPr>
        <w:pStyle w:val="ListParagraph"/>
        <w:numPr>
          <w:ilvl w:val="0"/>
          <w:numId w:val="2"/>
        </w:numPr>
        <w:spacing w:after="80" w:line="272"/>
      </w:pPr>
      <w:r>
        <w:t xml:space="preserve">Protects the name Cogeto and the logo separately from the code. AGPL lets someone run your code, but trademark means they cannot call their version Cogeto. They would have to rebrand, which kills their ability to free-ride on your reputation.</w:t>
      </w:r>
    </w:p>
    <w:p>
      <w:pPr>
        <w:pStyle w:val="ListParagraph"/>
        <w:numPr>
          <w:ilvl w:val="0"/>
          <w:numId w:val="2"/>
        </w:numPr>
        <w:spacing w:after="80" w:line="272"/>
      </w:pPr>
      <w:r>
        <w:t xml:space="preserve">Often the strongest practical moat. File early in priority markets, EU first, given the positioning.</w:t>
      </w:r>
    </w:p>
    <w:p>
      <w:pPr>
        <w:pStyle w:val="Heading2"/>
      </w:pPr>
      <w:r>
        <w:t xml:space="preserve">7.5 Tradeoff to keep in mind</w:t>
      </w:r>
    </w:p>
    <w:p>
      <w:pPr>
        <w:spacing w:after="140" w:line="276"/>
      </w:pPr>
      <w:r>
        <w:t xml:space="preserve">AGPLv3 scares off some corporate contributors and users with blanket no-AGPL policies. Since the business is hosting, not community contributions, that cost is worth paying. If priorities later shift toward maximizing adoption and ecosystem, the core can relax to Apache 2.0, but keep the CLA and trademark regardless.</w:t>
      </w:r>
    </w:p>
    <w:p>
      <w:pPr>
        <w:pBdr>
          <w:bottom w:val="single" w:color="C9D6E0" w:sz="6" w:space="1"/>
        </w:pBdr>
        <w:spacing w:after="120" w:before="40"/>
      </w:pPr>
      <w:r>
        <w:t xml:space="preserve"/>
      </w:r>
    </w:p>
    <w:p>
      <w:pPr>
        <w:pStyle w:val="Heading1"/>
      </w:pPr>
      <w:r>
        <w:t xml:space="preserve">8. Competitive position</w:t>
      </w:r>
    </w:p>
    <w:p>
      <w:pPr>
        <w:spacing w:after="140" w:line="276"/>
      </w:pPr>
      <w:r>
        <w:t xml:space="preserve">The established players in the AI-memory space are all the same shape: a free open-source library plus a paid managed cloud, where the cloud is the real business. One leads with cloud-first personalization and hyperscaler distribution. Another is temporal knowledge graphs, now mostly SaaS. A third is an OS-style agent runtime, fully self-hostable. Crucially, none of them lead with EU or privacy.</w:t>
      </w:r>
    </w:p>
    <w:p>
      <w:pPr>
        <w:spacing w:after="140" w:line="276"/>
      </w:pPr>
      <w:r>
        <w:t xml:space="preserve">Where Cogeto wins:</w:t>
      </w:r>
    </w:p>
    <w:p>
      <w:pPr>
        <w:pStyle w:val="ListParagraph"/>
        <w:numPr>
          <w:ilvl w:val="0"/>
          <w:numId w:val="2"/>
        </w:numPr>
        <w:spacing w:after="80" w:line="272"/>
      </w:pPr>
      <w:r>
        <w:rPr>
          <w:b/>
          <w:bCs/>
        </w:rPr>
        <w:t xml:space="preserve">EU-hosted, privacy-first by default. </w:t>
      </w:r>
      <w:r>
        <w:t xml:space="preserve">Competitors require extra work for data sovereignty and EU AI Act compliance.</w:t>
      </w:r>
    </w:p>
    <w:p>
      <w:pPr>
        <w:pStyle w:val="ListParagraph"/>
        <w:numPr>
          <w:ilvl w:val="0"/>
          <w:numId w:val="2"/>
        </w:numPr>
        <w:spacing w:after="80" w:line="272"/>
      </w:pPr>
      <w:r>
        <w:rPr>
          <w:b/>
          <w:bCs/>
        </w:rPr>
        <w:t xml:space="preserve">Correctable, inspectable memory as the headline. </w:t>
      </w:r>
      <w:r>
        <w:t xml:space="preserve">The field is split: some accumulate everything, some invalidate facts automatically. Cogeto makes user-correctable memory the product, not a side effect.</w:t>
      </w:r>
    </w:p>
    <w:p>
      <w:pPr>
        <w:pStyle w:val="ListParagraph"/>
        <w:numPr>
          <w:ilvl w:val="0"/>
          <w:numId w:val="2"/>
        </w:numPr>
        <w:spacing w:after="80" w:line="272"/>
      </w:pPr>
      <w:r>
        <w:rPr>
          <w:b/>
          <w:bCs/>
        </w:rPr>
        <w:t xml:space="preserve">Packaged for non-technical professionals, </w:t>
      </w:r>
      <w:r>
        <w:t xml:space="preserve">hosted for them, not shipped as developer tooling.</w:t>
      </w:r>
    </w:p>
    <w:p>
      <w:pPr>
        <w:spacing w:after="140" w:line="276"/>
      </w:pPr>
      <w:r>
        <w:t xml:space="preserve">Cogeto should not try to out-engineer them on the raw memory primitive. The win is the product layer plus the EU, privacy, and trust posture they structurally will not prioritize.</w:t>
      </w:r>
    </w:p>
    <w:p>
      <w:pPr>
        <w:pBdr>
          <w:bottom w:val="single" w:color="C9D6E0" w:sz="6" w:space="1"/>
        </w:pBdr>
        <w:spacing w:after="120" w:before="40"/>
      </w:pPr>
      <w:r>
        <w:t xml:space="preserve"/>
      </w:r>
    </w:p>
    <w:p>
      <w:pPr>
        <w:pStyle w:val="Heading1"/>
      </w:pPr>
      <w:r>
        <w:t xml:space="preserve">9. Sequenced for later (not abandoned)</w:t>
      </w:r>
    </w:p>
    <w:p>
      <w:pPr>
        <w:pStyle w:val="ListParagraph"/>
        <w:numPr>
          <w:ilvl w:val="0"/>
          <w:numId w:val="2"/>
        </w:numPr>
        <w:spacing w:after="80" w:line="272"/>
      </w:pPr>
      <w:r>
        <w:t xml:space="preserve">Voice (speak, dictate, spoken answers).</w:t>
      </w:r>
    </w:p>
    <w:p>
      <w:pPr>
        <w:pStyle w:val="ListParagraph"/>
        <w:numPr>
          <w:ilvl w:val="0"/>
          <w:numId w:val="2"/>
        </w:numPr>
        <w:spacing w:after="80" w:line="272"/>
      </w:pPr>
      <w:r>
        <w:t xml:space="preserve">More integrations (WhatsApp and Telegram, Slack and Teams, Drive and OneDrive, Notion, GitHub and GitLab, files and PDFs at scale).</w:t>
      </w:r>
    </w:p>
    <w:p>
      <w:pPr>
        <w:pStyle w:val="ListParagraph"/>
        <w:numPr>
          <w:ilvl w:val="0"/>
          <w:numId w:val="2"/>
        </w:numPr>
        <w:spacing w:after="80" w:line="272"/>
      </w:pPr>
      <w:r>
        <w:t xml:space="preserve">Model-agnostic routing (local models, OpenAI, Claude, Gemini, per-task routing).</w:t>
      </w:r>
    </w:p>
    <w:p>
      <w:pPr>
        <w:pStyle w:val="ListParagraph"/>
        <w:numPr>
          <w:ilvl w:val="0"/>
          <w:numId w:val="2"/>
        </w:numPr>
        <w:spacing w:after="80" w:line="272"/>
      </w:pPr>
      <w:r>
        <w:t xml:space="preserve">Local utility model deployment (Qwen via Ollama) for privacy screening and cost at volume.</w:t>
      </w:r>
    </w:p>
    <w:p>
      <w:pPr>
        <w:pStyle w:val="ListParagraph"/>
        <w:numPr>
          <w:ilvl w:val="0"/>
          <w:numId w:val="2"/>
        </w:numPr>
        <w:spacing w:after="80" w:line="272"/>
      </w:pPr>
      <w:r>
        <w:t xml:space="preserve">Mass-market and normal-user positioning.</w:t>
      </w:r>
    </w:p>
    <w:p>
      <w:pPr>
        <w:pStyle w:val="ListParagraph"/>
        <w:numPr>
          <w:ilvl w:val="0"/>
          <w:numId w:val="2"/>
        </w:numPr>
        <w:spacing w:after="80" w:line="272"/>
      </w:pPr>
      <w:r>
        <w:t xml:space="preserve">Enterprise deployment depth (advanced compliance certifications, dedicated admin console, fine-grained team roles beyond private and shared).</w:t>
      </w:r>
    </w:p>
    <w:p>
      <w:pPr>
        <w:pStyle w:val="ListParagraph"/>
        <w:numPr>
          <w:ilvl w:val="0"/>
          <w:numId w:val="2"/>
        </w:numPr>
        <w:spacing w:after="80" w:line="272"/>
      </w:pPr>
      <w:r>
        <w:t xml:space="preserve">Agency and fractional-CTO services (bridge revenue only).</w:t>
      </w:r>
    </w:p>
    <w:p>
      <w:pPr>
        <w:pBdr>
          <w:bottom w:val="single" w:color="C9D6E0" w:sz="6" w:space="1"/>
        </w:pBdr>
        <w:spacing w:after="120" w:before="40"/>
      </w:pPr>
      <w:r>
        <w:t xml:space="preserve"/>
      </w:r>
    </w:p>
    <w:p>
      <w:pPr>
        <w:pStyle w:val="Heading1"/>
      </w:pPr>
      <w:r>
        <w:t xml:space="preserve">10. The moat, restated</w:t>
      </w:r>
    </w:p>
    <w:p>
      <w:pPr>
        <w:spacing w:after="140" w:line="276"/>
      </w:pPr>
      <w:r>
        <w:t xml:space="preserve">Cogeto moat is the combination, not any single piece:</w:t>
      </w:r>
    </w:p>
    <w:p>
      <w:pPr>
        <w:pStyle w:val="ListParagraph"/>
        <w:numPr>
          <w:ilvl w:val="0"/>
          <w:numId w:val="3"/>
        </w:numPr>
        <w:spacing w:after="80" w:line="272"/>
      </w:pPr>
      <w:r>
        <w:t xml:space="preserve">Private long-term memory.</w:t>
      </w:r>
    </w:p>
    <w:p>
      <w:pPr>
        <w:pStyle w:val="ListParagraph"/>
        <w:numPr>
          <w:ilvl w:val="0"/>
          <w:numId w:val="3"/>
        </w:numPr>
        <w:spacing w:after="80" w:line="272"/>
      </w:pPr>
      <w:r>
        <w:t xml:space="preserve">Correctable and inspectable memory quality (active, outdated, contradicted, replaced, and so on).</w:t>
      </w:r>
    </w:p>
    <w:p>
      <w:pPr>
        <w:pStyle w:val="ListParagraph"/>
        <w:numPr>
          <w:ilvl w:val="0"/>
          <w:numId w:val="3"/>
        </w:numPr>
        <w:spacing w:after="80" w:line="272"/>
      </w:pPr>
      <w:r>
        <w:t xml:space="preserve">Human approval as standard.</w:t>
      </w:r>
    </w:p>
    <w:p>
      <w:pPr>
        <w:pStyle w:val="ListParagraph"/>
        <w:numPr>
          <w:ilvl w:val="0"/>
          <w:numId w:val="3"/>
        </w:numPr>
        <w:spacing w:after="80" w:line="272"/>
      </w:pPr>
      <w:r>
        <w:t xml:space="preserve">EU-hosted, privacy-first deployment.</w:t>
      </w:r>
    </w:p>
    <w:p>
      <w:pPr>
        <w:pStyle w:val="ListParagraph"/>
        <w:numPr>
          <w:ilvl w:val="0"/>
          <w:numId w:val="3"/>
        </w:numPr>
        <w:spacing w:after="80" w:line="272"/>
      </w:pPr>
      <w:r>
        <w:t xml:space="preserve">User-friendly product hosted for the user, not developer tooling.</w:t>
      </w:r>
    </w:p>
    <w:p>
      <w:pPr>
        <w:pStyle w:val="ListParagraph"/>
        <w:numPr>
          <w:ilvl w:val="0"/>
          <w:numId w:val="3"/>
        </w:numPr>
        <w:spacing w:after="80" w:line="272"/>
      </w:pPr>
      <w:r>
        <w:t xml:space="preserve">Shared and private memory scopes with identity and SSO (Zitadel) built in from day one.</w:t>
      </w:r>
    </w:p>
    <w:p>
      <w:pPr>
        <w:pStyle w:val="ListParagraph"/>
        <w:numPr>
          <w:ilvl w:val="0"/>
          <w:numId w:val="3"/>
        </w:numPr>
        <w:spacing w:after="80" w:line="272"/>
      </w:pPr>
      <w:r>
        <w:t xml:space="preserve">Protected open-core (AGPLv3 plus CLA plus commercial licensing plus trademark).</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A7A" w:sz="18"/>
              <w:bottom w:val="none"/>
              <w:right w:val="none"/>
            </w:tcBorders>
            <w:shd w:fill="EAF1F6" w:val="clear"/>
            <w:tcMar>
              <w:top w:type="dxa" w:w="100"/>
              <w:left w:type="dxa" w:w="200"/>
              <w:bottom w:type="dxa" w:w="100"/>
              <w:right w:type="dxa" w:w="160"/>
            </w:tcMar>
          </w:tcPr>
          <w:p>
            <w:pPr>
              <w:spacing w:after="0" w:line="272"/>
            </w:pPr>
            <w:r>
              <w:rPr>
                <w:b/>
                <w:bCs/>
              </w:rPr>
              <w:t xml:space="preserve">Most AI memory products remember. Cogeto remembers responsibly.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A6672"/>
        <w:sz w:val="16"/>
        <w:szCs w:val="16"/>
      </w:rPr>
      <w:t xml:space="preserve">Page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0" w:sz="4" w:space="4"/>
      </w:pBdr>
      <w:spacing w:after="0"/>
      <w:jc w:val="right"/>
    </w:pPr>
    <w:r>
      <w:rPr>
        <w:color w:val="5A6672"/>
        <w:sz w:val="16"/>
        <w:szCs w:val="16"/>
      </w:rPr>
      <w:t xml:space="preserve">Cogeto  |  v1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2E5A7A"/>
      <w:sz w:val="56"/>
      <w:szCs w:val="56"/>
    </w:rPr>
  </w:style>
  <w:style w:type="paragraph" w:styleId="Heading1">
    <w:name w:val="Heading 1"/>
    <w:basedOn w:val="Normal"/>
    <w:next w:val="Normal"/>
    <w:qFormat/>
    <w:pPr>
      <w:spacing w:after="160" w:before="300"/>
      <w:outlineLvl w:val="0"/>
    </w:pPr>
    <w:rPr>
      <w:rFonts w:ascii="Arial" w:cs="Arial" w:eastAsia="Arial" w:hAnsi="Arial"/>
      <w:b/>
      <w:bCs/>
      <w:color w:val="2E5A7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4A7FA5"/>
      <w:sz w:val="24"/>
      <w:szCs w:val="24"/>
    </w:rPr>
  </w:style>
  <w:style w:type="paragraph" w:styleId="Heading3">
    <w:name w:val="Heading 3"/>
    <w:basedOn w:val="Normal"/>
    <w:next w:val="Normal"/>
    <w:qFormat/>
    <w:pPr>
      <w:spacing w:after="9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Cogeto v1 Product Specification and Technical Architecture</dc:title>
  <dc:creator>Cogeto</dc:creator>
  <cp:lastModifiedBy>Un-named</cp:lastModifiedBy>
  <cp:revision>1</cp:revision>
  <dcterms:created xsi:type="dcterms:W3CDTF">2026-06-30T13:13:04.182Z</dcterms:created>
  <dcterms:modified xsi:type="dcterms:W3CDTF">2026-06-30T13:13:04.197Z</dcterms:modified>
</cp:coreProperties>
</file>

<file path=docProps/custom.xml><?xml version="1.0" encoding="utf-8"?>
<Properties xmlns="http://schemas.openxmlformats.org/officeDocument/2006/custom-properties" xmlns:vt="http://schemas.openxmlformats.org/officeDocument/2006/docPropsVTypes"/>
</file>