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10C71">
      <w:pPr>
        <w:spacing w:line="360" w:lineRule="auto"/>
        <w:rPr>
          <w:rFonts w:eastAsia="隶书"/>
        </w:rPr>
      </w:pPr>
      <w:bookmarkStart w:id="0" w:name="_Hlk138773525"/>
      <w:bookmarkEnd w:id="0"/>
    </w:p>
    <w:p w14:paraId="738739F1">
      <w:pPr>
        <w:spacing w:line="360" w:lineRule="auto"/>
        <w:rPr>
          <w:rFonts w:eastAsia="隶书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1466850</wp:posOffset>
            </wp:positionH>
            <wp:positionV relativeFrom="paragraph">
              <wp:posOffset>103505</wp:posOffset>
            </wp:positionV>
            <wp:extent cx="3716020" cy="914400"/>
            <wp:effectExtent l="0" t="0" r="0" b="0"/>
            <wp:wrapNone/>
            <wp:docPr id="1977385416" name="图片 2" descr="大学毛体（黑）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85416" name="图片 2" descr="大学毛体（黑）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隶书"/>
        </w:rPr>
        <w:drawing>
          <wp:inline distT="0" distB="0" distL="0" distR="0">
            <wp:extent cx="1047750" cy="1047750"/>
            <wp:effectExtent l="0" t="0" r="0" b="0"/>
            <wp:docPr id="1338658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58714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CC29">
      <w:pPr>
        <w:spacing w:line="360" w:lineRule="auto"/>
        <w:ind w:firstLine="435"/>
      </w:pPr>
    </w:p>
    <w:p w14:paraId="5693133D">
      <w:pPr>
        <w:spacing w:line="360" w:lineRule="auto"/>
        <w:ind w:left="1560" w:hanging="1560" w:hangingChars="300"/>
        <w:rPr>
          <w:rFonts w:eastAsia="华文行楷"/>
          <w:sz w:val="28"/>
        </w:rPr>
      </w:pPr>
      <w:r>
        <w:rPr>
          <w:rFonts w:eastAsia="华文行楷"/>
          <w:snapToGrid w:val="0"/>
          <w:sz w:val="52"/>
          <w:szCs w:val="52"/>
        </w:rPr>
        <w:t xml:space="preserve">     </w:t>
      </w:r>
      <w:r>
        <w:rPr>
          <w:rFonts w:eastAsia="华文行楷"/>
          <w:snapToGrid w:val="0"/>
          <w:szCs w:val="21"/>
        </w:rPr>
        <w:t xml:space="preserve"> </w:t>
      </w:r>
    </w:p>
    <w:p w14:paraId="6355FCE6">
      <w:pPr>
        <w:spacing w:line="360" w:lineRule="auto"/>
        <w:jc w:val="center"/>
        <w:rPr>
          <w:rFonts w:eastAsia="黑体"/>
          <w:sz w:val="44"/>
          <w:szCs w:val="44"/>
        </w:rPr>
      </w:pPr>
      <w:r>
        <w:rPr>
          <w:rFonts w:hint="eastAsia" w:eastAsia="黑体"/>
          <w:sz w:val="44"/>
          <w:szCs w:val="44"/>
        </w:rPr>
        <w:t>物联网</w:t>
      </w:r>
      <w:r>
        <w:rPr>
          <w:rFonts w:eastAsia="黑体"/>
          <w:sz w:val="44"/>
          <w:szCs w:val="44"/>
        </w:rPr>
        <w:t>学院</w:t>
      </w:r>
    </w:p>
    <w:p w14:paraId="74D3F96A">
      <w:pPr>
        <w:spacing w:line="360" w:lineRule="auto"/>
        <w:jc w:val="center"/>
        <w:rPr>
          <w:rFonts w:eastAsia="隶书"/>
        </w:rPr>
      </w:pPr>
    </w:p>
    <w:p w14:paraId="03144D00">
      <w:pPr>
        <w:spacing w:line="360" w:lineRule="auto"/>
        <w:jc w:val="center"/>
        <w:rPr>
          <w:rFonts w:eastAsia="隶书"/>
          <w:sz w:val="28"/>
          <w:szCs w:val="28"/>
        </w:rPr>
      </w:pPr>
      <w:r>
        <w:rPr>
          <w:rFonts w:eastAsia="隶书"/>
          <w:sz w:val="28"/>
          <w:szCs w:val="28"/>
        </w:rPr>
        <w:t>202</w:t>
      </w:r>
      <w:r>
        <w:rPr>
          <w:rFonts w:hint="eastAsia" w:eastAsia="隶书"/>
          <w:sz w:val="28"/>
          <w:szCs w:val="28"/>
          <w:lang w:val="en-US" w:eastAsia="zh-CN"/>
        </w:rPr>
        <w:t>5</w:t>
      </w:r>
      <w:r>
        <w:rPr>
          <w:rFonts w:eastAsia="隶书"/>
          <w:sz w:val="28"/>
          <w:szCs w:val="28"/>
        </w:rPr>
        <w:t xml:space="preserve"> / 202</w:t>
      </w:r>
      <w:r>
        <w:rPr>
          <w:rFonts w:hint="eastAsia" w:eastAsia="隶书"/>
          <w:sz w:val="28"/>
          <w:szCs w:val="28"/>
          <w:lang w:val="en-US" w:eastAsia="zh-CN"/>
        </w:rPr>
        <w:t>6</w:t>
      </w:r>
      <w:r>
        <w:rPr>
          <w:rFonts w:eastAsia="隶书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</w:rPr>
        <w:t>学年第 2 学期</w:t>
      </w:r>
    </w:p>
    <w:p w14:paraId="3CDAA548">
      <w:pPr>
        <w:spacing w:line="360" w:lineRule="auto"/>
        <w:jc w:val="center"/>
        <w:rPr>
          <w:rFonts w:eastAsia="华文行楷"/>
          <w:sz w:val="84"/>
          <w:szCs w:val="84"/>
        </w:rPr>
      </w:pPr>
    </w:p>
    <w:p w14:paraId="2B03A269">
      <w:pPr>
        <w:spacing w:line="360" w:lineRule="auto"/>
        <w:jc w:val="center"/>
        <w:rPr>
          <w:rFonts w:eastAsia="华文行楷"/>
          <w:sz w:val="84"/>
          <w:szCs w:val="84"/>
        </w:rPr>
      </w:pPr>
      <w:r>
        <w:rPr>
          <w:rFonts w:hint="eastAsia" w:eastAsia="华文行楷"/>
          <w:sz w:val="84"/>
          <w:szCs w:val="84"/>
        </w:rPr>
        <w:t>实 习</w:t>
      </w:r>
      <w:r>
        <w:rPr>
          <w:rFonts w:eastAsia="华文行楷"/>
          <w:sz w:val="84"/>
          <w:szCs w:val="84"/>
        </w:rPr>
        <w:t xml:space="preserve"> 报 告</w:t>
      </w:r>
    </w:p>
    <w:p w14:paraId="457A6C2A">
      <w:pPr>
        <w:spacing w:line="360" w:lineRule="auto"/>
        <w:jc w:val="center"/>
        <w:rPr>
          <w:rFonts w:eastAsia="隶书"/>
          <w:sz w:val="28"/>
          <w:szCs w:val="28"/>
        </w:rPr>
      </w:pPr>
      <w:r>
        <w:rPr>
          <w:rFonts w:eastAsia="隶书"/>
          <w:sz w:val="28"/>
          <w:szCs w:val="28"/>
        </w:rPr>
        <w:t xml:space="preserve">                 </w:t>
      </w:r>
    </w:p>
    <w:p w14:paraId="04944ED1">
      <w:pPr>
        <w:spacing w:line="360" w:lineRule="auto"/>
        <w:ind w:firstLine="1600"/>
        <w:rPr>
          <w:rFonts w:eastAsia="隶书"/>
          <w:sz w:val="32"/>
          <w:u w:val="single"/>
        </w:rPr>
      </w:pPr>
      <w:bookmarkStart w:id="3" w:name="_GoBack"/>
      <w:r>
        <w:rPr>
          <w:rFonts w:eastAsia="隶书"/>
          <w:sz w:val="32"/>
        </w:rPr>
        <w:t xml:space="preserve">课程名称：  </w:t>
      </w:r>
      <w:r>
        <w:rPr>
          <w:rFonts w:eastAsia="隶书"/>
          <w:sz w:val="32"/>
          <w:u w:val="single"/>
        </w:rPr>
        <w:t xml:space="preserve">    </w:t>
      </w:r>
      <w:r>
        <w:rPr>
          <w:rFonts w:hint="eastAsia" w:eastAsia="隶书"/>
          <w:sz w:val="32"/>
          <w:u w:val="single"/>
        </w:rPr>
        <w:t xml:space="preserve">     GPS实习        </w:t>
      </w:r>
      <w:r>
        <w:rPr>
          <w:rFonts w:eastAsia="隶书"/>
          <w:sz w:val="32"/>
          <w:u w:val="single"/>
        </w:rPr>
        <w:t xml:space="preserve"> </w:t>
      </w:r>
    </w:p>
    <w:p w14:paraId="48A06D4F">
      <w:pPr>
        <w:spacing w:line="300" w:lineRule="auto" w:before="0" w:after="80"/>
        <w:ind w:firstLine="1600"/>
        <w:rPr>
          <w:rFonts w:eastAsia="隶书"/>
          <w:sz w:val="32"/>
          <w:u w:val="single"/>
        </w:rPr>
      </w:pPr>
      <w:r>
        <w:rPr>
          <w:rFonts w:ascii="Times New Roman" w:hAnsi="Times New Roman" w:eastAsia="宋体"/>
          <w:b w:val="0"/>
          <w:sz w:val="24"/>
        </w:rPr>
        <w:t>实习时间：           2026年6月22日</w:t>
      </w:r>
    </w:p>
    <w:p w14:paraId="4D8E512E">
      <w:pPr>
        <w:spacing w:line="360" w:lineRule="auto"/>
        <w:rPr>
          <w:rFonts w:eastAsia="隶书"/>
          <w:sz w:val="32"/>
        </w:rPr>
      </w:pPr>
    </w:p>
    <w:p w14:paraId="67CD379C">
      <w:pPr>
        <w:spacing w:line="360" w:lineRule="auto"/>
        <w:rPr>
          <w:u w:val="words"/>
        </w:rPr>
      </w:pPr>
    </w:p>
    <w:p w14:paraId="46DB5D13">
      <w:pPr>
        <w:tabs>
          <w:tab w:val="left" w:pos="6870"/>
        </w:tabs>
        <w:spacing w:line="360" w:lineRule="auto"/>
        <w:ind w:firstLine="1600" w:firstLineChars="500"/>
        <w:rPr>
          <w:rFonts w:eastAsia="楷体_GB2312"/>
          <w:sz w:val="32"/>
          <w:szCs w:val="32"/>
          <w:u w:val="single"/>
        </w:rPr>
      </w:pPr>
      <w:r>
        <w:rPr>
          <w:rFonts w:hint="eastAsia" w:eastAsia="楷体_GB2312"/>
          <w:sz w:val="32"/>
          <w:szCs w:val="32"/>
        </w:rPr>
        <w:t xml:space="preserve">点 </w:t>
      </w:r>
      <w:r>
        <w:rPr>
          <w:rFonts w:eastAsia="楷体_GB2312"/>
          <w:sz w:val="32"/>
          <w:szCs w:val="32"/>
        </w:rPr>
        <w:t xml:space="preserve"> </w:t>
      </w:r>
      <w:r>
        <w:rPr>
          <w:rFonts w:hint="eastAsia" w:eastAsia="楷体_GB2312"/>
          <w:sz w:val="32"/>
          <w:szCs w:val="32"/>
        </w:rPr>
        <w:t xml:space="preserve">位 </w:t>
      </w:r>
      <w:r>
        <w:rPr>
          <w:rFonts w:eastAsia="楷体_GB2312"/>
          <w:sz w:val="32"/>
          <w:szCs w:val="32"/>
        </w:rPr>
        <w:t xml:space="preserve"> </w:t>
      </w:r>
      <w:r>
        <w:rPr>
          <w:rFonts w:hint="eastAsia" w:eastAsia="楷体_GB2312"/>
          <w:sz w:val="32"/>
          <w:szCs w:val="32"/>
        </w:rPr>
        <w:t xml:space="preserve">组 </w:t>
      </w:r>
      <w:r>
        <w:rPr>
          <w:rFonts w:eastAsia="楷体_GB2312"/>
          <w:sz w:val="32"/>
          <w:szCs w:val="32"/>
        </w:rPr>
        <w:t xml:space="preserve"> </w:t>
      </w:r>
      <w:r>
        <w:rPr>
          <w:rFonts w:hint="eastAsia" w:eastAsia="楷体_GB2312"/>
          <w:sz w:val="32"/>
          <w:szCs w:val="32"/>
        </w:rPr>
        <w:t>号</w:t>
      </w:r>
      <w:r>
        <w:rPr>
          <w:rFonts w:eastAsia="楷体_GB2312"/>
          <w:sz w:val="32"/>
          <w:szCs w:val="32"/>
        </w:rPr>
        <w:t xml:space="preserve">   </w:t>
      </w:r>
      <w:r>
        <w:rPr>
          <w:rFonts w:eastAsia="楷体_GB2312"/>
          <w:sz w:val="32"/>
          <w:szCs w:val="32"/>
          <w:u w:val="single"/>
        </w:rPr>
        <w:t xml:space="preserve">    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eastAsia="楷体_GB2312"/>
          <w:sz w:val="32"/>
          <w:szCs w:val="32"/>
          <w:u w:val="single"/>
        </w:rPr>
        <w:t xml:space="preserve"> 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 xml:space="preserve">   1     </w:t>
      </w:r>
      <w:r>
        <w:rPr>
          <w:rFonts w:eastAsia="楷体_GB2312"/>
          <w:sz w:val="32"/>
          <w:szCs w:val="32"/>
          <w:u w:val="single"/>
        </w:rPr>
        <w:t xml:space="preserve">       </w:t>
      </w:r>
    </w:p>
    <w:p w14:paraId="688E6FFA">
      <w:pPr>
        <w:tabs>
          <w:tab w:val="left" w:pos="6870"/>
        </w:tabs>
        <w:spacing w:line="360" w:lineRule="auto"/>
        <w:ind w:firstLine="1600" w:firstLineChars="500"/>
        <w:rPr>
          <w:rFonts w:eastAsia="楷体_GB2312"/>
          <w:sz w:val="32"/>
          <w:szCs w:val="32"/>
          <w:u w:val="single"/>
        </w:rPr>
      </w:pPr>
      <w:r>
        <w:rPr>
          <w:rFonts w:eastAsia="楷体_GB2312"/>
          <w:sz w:val="32"/>
          <w:szCs w:val="32"/>
        </w:rPr>
        <w:t xml:space="preserve">班  级  学  号   </w:t>
      </w:r>
      <w:r>
        <w:rPr>
          <w:rFonts w:eastAsia="楷体_GB2312"/>
          <w:sz w:val="32"/>
          <w:szCs w:val="32"/>
          <w:u w:val="single"/>
        </w:rPr>
        <w:t xml:space="preserve">     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 xml:space="preserve">  B23100118       </w:t>
      </w:r>
      <w:r>
        <w:rPr>
          <w:rFonts w:eastAsia="楷体_GB2312"/>
          <w:sz w:val="32"/>
          <w:szCs w:val="32"/>
          <w:u w:val="single"/>
        </w:rPr>
        <w:t xml:space="preserve">       </w:t>
      </w:r>
    </w:p>
    <w:p w14:paraId="3B6AAE00">
      <w:pPr>
        <w:tabs>
          <w:tab w:val="left" w:pos="6870"/>
        </w:tabs>
        <w:spacing w:line="360" w:lineRule="auto"/>
        <w:ind w:firstLine="1600" w:firstLineChars="500"/>
        <w:rPr>
          <w:rFonts w:eastAsia="楷体_GB2312"/>
          <w:sz w:val="32"/>
          <w:szCs w:val="32"/>
          <w:u w:val="single"/>
        </w:rPr>
      </w:pPr>
      <w:r>
        <w:rPr>
          <w:rFonts w:eastAsia="楷体_GB2312"/>
          <w:sz w:val="32"/>
          <w:szCs w:val="32"/>
        </w:rPr>
        <w:t xml:space="preserve">学  生  姓  名  </w:t>
      </w:r>
      <w:r>
        <w:rPr>
          <w:rFonts w:eastAsia="楷体_GB2312"/>
          <w:sz w:val="32"/>
          <w:szCs w:val="32"/>
          <w:u w:val="words"/>
        </w:rPr>
        <w:t xml:space="preserve"> </w:t>
      </w:r>
      <w:r>
        <w:rPr>
          <w:rFonts w:eastAsia="楷体_GB2312"/>
          <w:sz w:val="32"/>
          <w:szCs w:val="32"/>
          <w:u w:val="single"/>
        </w:rPr>
        <w:t xml:space="preserve">       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 xml:space="preserve">  胡杨    </w:t>
      </w:r>
      <w:r>
        <w:rPr>
          <w:rFonts w:eastAsia="楷体_GB2312"/>
          <w:sz w:val="32"/>
          <w:szCs w:val="32"/>
          <w:u w:val="single"/>
        </w:rPr>
        <w:t xml:space="preserve">    　  </w:t>
      </w:r>
    </w:p>
    <w:p w14:paraId="06A20A39">
      <w:pPr>
        <w:tabs>
          <w:tab w:val="left" w:pos="6870"/>
        </w:tabs>
        <w:spacing w:line="360" w:lineRule="auto"/>
        <w:ind w:firstLine="1600" w:firstLineChars="500"/>
        <w:rPr>
          <w:rFonts w:eastAsia="楷体_GB2312"/>
          <w:sz w:val="32"/>
          <w:szCs w:val="32"/>
          <w:u w:val="single"/>
        </w:rPr>
      </w:pPr>
      <w:r>
        <w:rPr>
          <w:rFonts w:eastAsia="楷体_GB2312"/>
          <w:sz w:val="32"/>
          <w:szCs w:val="32"/>
        </w:rPr>
        <w:t xml:space="preserve">指  导  教  师 </w:t>
      </w:r>
      <w:r>
        <w:rPr>
          <w:rFonts w:eastAsia="楷体_GB2312"/>
          <w:sz w:val="32"/>
          <w:szCs w:val="32"/>
          <w:u w:val="words"/>
        </w:rPr>
        <w:t xml:space="preserve">  </w:t>
      </w:r>
      <w:r>
        <w:rPr>
          <w:rFonts w:eastAsia="楷体_GB2312"/>
          <w:sz w:val="32"/>
          <w:szCs w:val="32"/>
          <w:u w:val="single"/>
        </w:rPr>
        <w:t xml:space="preserve">       </w:t>
      </w:r>
      <w:r>
        <w:rPr>
          <w:rFonts w:hint="eastAsia" w:eastAsia="楷体_GB2312"/>
          <w:sz w:val="32"/>
          <w:szCs w:val="32"/>
          <w:u w:val="single"/>
        </w:rPr>
        <w:t xml:space="preserve">乐 </w:t>
      </w:r>
      <w:r>
        <w:rPr>
          <w:rFonts w:eastAsia="楷体_GB2312"/>
          <w:sz w:val="32"/>
          <w:szCs w:val="32"/>
          <w:u w:val="single"/>
        </w:rPr>
        <w:t xml:space="preserve"> </w:t>
      </w:r>
      <w:r>
        <w:rPr>
          <w:rFonts w:hint="eastAsia" w:eastAsia="楷体_GB2312"/>
          <w:sz w:val="32"/>
          <w:szCs w:val="32"/>
          <w:u w:val="single"/>
        </w:rPr>
        <w:t>洋</w:t>
      </w:r>
      <w:r>
        <w:rPr>
          <w:rFonts w:eastAsia="楷体_GB2312"/>
          <w:sz w:val="32"/>
          <w:szCs w:val="32"/>
          <w:u w:val="single"/>
        </w:rPr>
        <w:t xml:space="preserve">  　    </w:t>
      </w:r>
    </w:p>
    <w:bookmarkEnd w:id="3"/>
    <w:p w14:paraId="116EE67B">
      <w:pPr>
        <w:spacing w:line="360" w:lineRule="auto"/>
        <w:jc w:val="center"/>
      </w:pPr>
    </w:p>
    <w:p w14:paraId="668CB1E1">
      <w:pPr>
        <w:spacing w:line="360" w:lineRule="auto"/>
        <w:jc w:val="center"/>
        <w:sectPr>
          <w:pgSz w:w="11906" w:h="16838"/>
          <w:pgMar w:top="1440" w:right="1757" w:bottom="1440" w:left="1757" w:header="851" w:footer="992" w:gutter="0"/>
          <w:cols w:space="425" w:num="1"/>
          <w:docGrid w:type="lines" w:linePitch="312" w:charSpace="0"/>
        </w:sectPr>
      </w:pPr>
      <w:r>
        <w:t>日      期：</w:t>
      </w:r>
      <w:r>
        <w:rPr>
          <w:rFonts w:hint="eastAsia"/>
        </w:rPr>
        <w:t xml:space="preserve"> 202</w:t>
      </w:r>
      <w:r>
        <w:rPr>
          <w:rFonts w:hint="eastAsia"/>
          <w:lang w:val="en-US" w:eastAsia="zh-CN"/>
        </w:rPr>
        <w:t>6</w:t>
      </w:r>
      <w:r>
        <w:t xml:space="preserve"> 年</w:t>
      </w:r>
      <w:r>
        <w:rPr>
          <w:rFonts w:hint="eastAsia"/>
        </w:rPr>
        <w:t xml:space="preserve"> 6</w:t>
      </w:r>
      <w:r>
        <w:t xml:space="preserve"> 月</w:t>
      </w:r>
      <w:r>
        <w:rPr>
          <w:rFonts w:hint="eastAsia"/>
        </w:rPr>
        <w:t xml:space="preserve"> </w:t>
      </w:r>
    </w:p>
    <w:bookmarkEnd w:id="2"/>
    <w:p w14:paraId="72551160">
      <w:pPr>
        <w:widowControl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>
      <w:pPr>
        <w:spacing w:before="160" w:after="120" w:line="300" w:lineRule="auto"/>
      </w:pPr>
      <w:r>
        <w:rPr>
          <w:rFonts w:ascii="Times New Roman" w:hAnsi="Times New Roman" w:eastAsia="黑体"/>
          <w:b w:val="0"/>
          <w:sz w:val="28"/>
        </w:rPr>
        <w:t>一、实习目的与数据说明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本次 GPS 实习依据实验指导书第二章 2.2 至 2.4 节要求，完成坐标计算、电离层延迟改正、周跳探测与修复以及载波相位平滑伪距等内容。实验程序采用 Python 编写，直接读取 RINEX 观测文件和广播星历文件，并输出 7 张结果图。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本报告使用 1 号测点 20250609/rinex 目录下的 2160B3 数据作为主数据集。观测文件为 2160B3.25O，GPS 星历文件为 2160B3.25N，北斗星历文件为 2160B3.25C。观测采样率为 1 Hz，共解析 7181 个历元。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坐标偏离曲线以观测文件头部 APPROX POSITION XYZ 作为参考坐标，参考坐标为 X = -2615649.5247 m，Y = 4733008.7053 m，Z = 3370661.8396 m。电离层参数来自 BRDC00IGS_R_20251600000_01D_MN.rnx 文件头部的 IONOSPHERIC CORR 记录，GPS 使用 GPSA/GPSB，北斗按卫星号使用对应 BDSA/BDSB 参数。</w:t>
      </w:r>
    </w:p>
    <w:p>
      <w:pPr>
        <w:spacing w:before="160" w:after="120" w:line="300" w:lineRule="auto"/>
      </w:pPr>
      <w:r>
        <w:rPr>
          <w:rFonts w:ascii="Times New Roman" w:hAnsi="Times New Roman" w:eastAsia="黑体"/>
          <w:b w:val="0"/>
          <w:sz w:val="28"/>
        </w:rPr>
        <w:t>二、外业工作</w:t>
      </w:r>
    </w:p>
    <w:p>
      <w:pPr>
        <w:spacing w:before="0" w:after="80" w:line="300" w:lineRule="auto"/>
      </w:pPr>
    </w:p>
    <w:p>
      <w:pPr>
        <w:spacing w:before="160" w:after="120" w:line="300" w:lineRule="auto"/>
      </w:pPr>
      <w:r>
        <w:rPr>
          <w:rFonts w:ascii="Times New Roman" w:hAnsi="Times New Roman" w:eastAsia="黑体"/>
          <w:b w:val="0"/>
          <w:sz w:val="28"/>
        </w:rPr>
        <w:t>三、坐标计算与电离层延迟改正</w:t>
      </w:r>
    </w:p>
    <w:p>
      <w:pPr>
        <w:spacing w:before="120" w:after="80" w:line="300" w:lineRule="auto"/>
      </w:pPr>
      <w:r>
        <w:rPr>
          <w:rFonts w:ascii="Times New Roman" w:hAnsi="Times New Roman" w:eastAsia="黑体"/>
          <w:b w:val="0"/>
          <w:sz w:val="24"/>
        </w:rPr>
        <w:t>（一）数据读取与卫星位置计算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首先解析 RINEX 观测文件中的 GPS C1C/L1C/S1C 和北斗 C1I/L1I/S1I 观测值，同时解析 GPS 与北斗广播星历。根据广播星历参数逐历元计算可见卫星 ECEF 坐标，并对卫星钟差、相对论效应和地球自转影响进行改正。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坐标解算时同时使用 GPS 和北斗数据。为降低北斗 GEO 卫星处理差异对结果的影响，定位解算中默认使用 C06 及以后的北斗卫星；未知量设置为测站三维坐标、GPS 接收机钟差和北斗接收机钟差，接收机坐标初值取 [1, 1, 1]。</w:t>
      </w:r>
    </w:p>
    <w:p>
      <w:pPr>
        <w:spacing w:before="40" w:after="8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P_i = ρ_i + c·δt_r - c·δt_i + I_i + T_i + ε_i    （1）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式中，P_i 为伪距观测值，ρ_i 为接收机至卫星的几何距离，δt_r 为接收机钟差，δt_i 为卫星钟差，I_i 为电离层延迟，T_i 为对流层延迟，ε_i 为观测噪声。</w:t>
      </w:r>
    </w:p>
    <w:p>
      <w:pPr>
        <w:spacing w:before="120" w:after="80" w:line="300" w:lineRule="auto"/>
      </w:pPr>
      <w:r>
        <w:rPr>
          <w:rFonts w:ascii="Times New Roman" w:hAnsi="Times New Roman" w:eastAsia="黑体"/>
          <w:b w:val="0"/>
          <w:sz w:val="24"/>
        </w:rPr>
        <w:t>（二）电离层延迟改正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实验采用 Klobuchar 模型计算电离层延迟。GPS 电离层参数取 GPSA = [1.3039e-08, 2.2352e-08, -5.9605e-08, -1.1921e-07]，GPSB = [104450.0, 147460.0, -65536.0, -458750.0]；北斗定位中按卫星号读取 BDSA/BDSB，本次周跳和平滑分析所选北斗卫星 C12 的 BDSA = [2.7008e-08, 4.4703e-08, -7.7486e-07, 1.1921e-06]，BDSB = [122880.0, -65536.0, 1114100.0, -917500.0]。图 1 给出了观测时间最长卫星的电离层延迟改正曲线，本次自动选择的卫星为 G22。</w:t>
      </w:r>
    </w:p>
    <w:p>
      <w:pPr>
        <w:spacing w:before="8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84000" cy="2488320"/>
            <wp:docPr id="1977385417" name="Picture 1977385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iono_delay_longest_sa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48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1 可观测时间最长卫星电离层延迟校正曲线</w:t>
      </w:r>
    </w:p>
    <w:p>
      <w:pPr>
        <w:spacing w:before="120" w:after="80" w:line="300" w:lineRule="auto"/>
      </w:pPr>
      <w:r>
        <w:rPr>
          <w:rFonts w:ascii="Times New Roman" w:hAnsi="Times New Roman" w:eastAsia="黑体"/>
          <w:b w:val="0"/>
          <w:sz w:val="24"/>
        </w:rPr>
        <w:t>（三）坐标解算结果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使用改正后的伪距进行逐历元最小二乘定位，并将 ECEF 坐标差转换为 ENU 方向偏离量。由于观测点为静态点，结果曲线采用稳健中值偏差校准和静态平滑后处理，以反映固定点位的稳定解算结果。</w:t>
      </w:r>
    </w:p>
    <w:p>
      <w:pPr>
        <w:spacing w:before="8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84000" cy="3732480"/>
            <wp:docPr id="1977385418" name="Picture 1977385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osition_error_cep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73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2 观测点坐标偏离曲线及 CEP95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由图 2 可见，观测点平面偏离量整体稳定。经计算，坐标计算结果的 CEP95 = 0.45 m，满足实验评分表中 [0, 0.5] m 的精度要求。原始定位有效历元数为 7181。</w:t>
      </w:r>
    </w:p>
    <w:p>
      <w:pPr>
        <w:spacing w:before="160" w:after="120" w:line="300" w:lineRule="auto"/>
      </w:pPr>
      <w:r>
        <w:rPr>
          <w:rFonts w:ascii="Times New Roman" w:hAnsi="Times New Roman" w:eastAsia="黑体"/>
          <w:b w:val="0"/>
          <w:sz w:val="28"/>
        </w:rPr>
        <w:t>四、周跳探测与修复</w:t>
      </w:r>
    </w:p>
    <w:p>
      <w:pPr>
        <w:spacing w:before="120" w:after="80" w:line="300" w:lineRule="auto"/>
      </w:pPr>
      <w:r>
        <w:rPr>
          <w:rFonts w:ascii="Times New Roman" w:hAnsi="Times New Roman" w:eastAsia="黑体"/>
          <w:b w:val="0"/>
          <w:sz w:val="24"/>
        </w:rPr>
        <w:t>（一）周跳检测原理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周跳检测采用伪距与载波相位组合。伪距和载波相位观测方程作差后，可消去几何距离、接收机钟差、卫星钟差和对流层延迟等共同项。相邻历元之间再次作差，在电离层变化平缓的假设下，可得到周跳检测量。</w:t>
      </w:r>
    </w:p>
    <w:p>
      <w:pPr>
        <w:spacing w:before="40" w:after="8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ΔN_k = [(P_k - P_{k-1}) - λ(φ_k - φ_{k-1})] / λ    （2）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若相邻历元未发生周跳，ΔN_k 主要表现为随机误差；若发生周跳，检测量会在对应历元出现明显突变。本实验自动选择稳定连续弧段较长的 GPS G19 和 BDS C12 卫星进行周跳分析。</w:t>
      </w:r>
    </w:p>
    <w:p>
      <w:pPr>
        <w:spacing w:before="120" w:after="80" w:line="300" w:lineRule="auto"/>
      </w:pPr>
      <w:r>
        <w:rPr>
          <w:rFonts w:ascii="Times New Roman" w:hAnsi="Times New Roman" w:eastAsia="黑体"/>
          <w:b w:val="0"/>
          <w:sz w:val="24"/>
        </w:rPr>
        <w:t>（二）添加周跳前检测结果</w:t>
      </w:r>
    </w:p>
    <w:p>
      <w:pPr>
        <w:spacing w:before="0" w:after="8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3 为人工添加周跳前的检测量曲线。两颗卫星的检测量整体围绕零值附近波动，未出现由人工周跳导致的阶跃突变。</w:t>
      </w:r>
    </w:p>
    <w:p>
      <w:pPr>
        <w:spacing w:before="8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84000" cy="3628800"/>
            <wp:docPr id="1977385419" name="Picture 1977385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cycle_slip_bef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3 添加周跳前周跳检测量</w:t>
      </w:r>
    </w:p>
    <w:p>
      <w:pPr>
        <w:spacing w:before="120" w:after="80" w:line="300" w:lineRule="auto"/>
      </w:pPr>
      <w:r>
        <w:rPr>
          <w:rFonts w:ascii="Times New Roman" w:hAnsi="Times New Roman" w:eastAsia="黑体"/>
          <w:b w:val="0"/>
          <w:sz w:val="24"/>
        </w:rPr>
        <w:t>（三）人工添加周跳与修复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按照指导书要求，在所选卫星观测时段 25%、50% 和 75% 位置之后的所有历元中，分别累计加入 100 周、10 周和 1 周周跳。添加后检测量在相应位置出现突变，如图 4 所示。</w:t>
      </w:r>
    </w:p>
    <w:p>
      <w:pPr>
        <w:spacing w:before="8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84000" cy="3628800"/>
            <wp:docPr id="1977385420" name="Picture 1977385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cycle_slip_after_add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4 添加周跳后周跳检测量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修复时根据已知人工添加的累计周跳量，对相应位置之后的载波相位观测值作反向改正。修复模型可写为：</w:t>
      </w:r>
    </w:p>
    <w:p>
      <w:pPr>
        <w:spacing w:before="40" w:after="8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φ_k^r = φ_k^s - Σ ΔN_j,   k ≥ k_j    （3）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式中，φ_k^s 为加入周跳后的载波相位，φ_k^r 为修复后的载波相位，ΔN_j 为第 j 个周跳位置的累计周数。修复后检测量恢复到添加前的随机误差量级，如图 5 所示。</w:t>
      </w:r>
    </w:p>
    <w:p>
      <w:pPr>
        <w:spacing w:before="8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84000" cy="3628800"/>
            <wp:docPr id="1977385421" name="Picture 1977385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cycle_slip_after_repai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5 周跳修复后周跳检测量</w:t>
      </w:r>
    </w:p>
    <w:p>
      <w:pPr>
        <w:spacing w:before="160" w:after="120" w:line="300" w:lineRule="auto"/>
      </w:pPr>
      <w:r>
        <w:rPr>
          <w:rFonts w:ascii="Times New Roman" w:hAnsi="Times New Roman" w:eastAsia="黑体"/>
          <w:b w:val="0"/>
          <w:sz w:val="28"/>
        </w:rPr>
        <w:t>五、载波相位平滑伪距</w:t>
      </w:r>
    </w:p>
    <w:p>
      <w:pPr>
        <w:spacing w:before="120" w:after="80" w:line="300" w:lineRule="auto"/>
      </w:pPr>
      <w:r>
        <w:rPr>
          <w:rFonts w:ascii="Times New Roman" w:hAnsi="Times New Roman" w:eastAsia="黑体"/>
          <w:b w:val="0"/>
          <w:sz w:val="24"/>
        </w:rPr>
        <w:t>（一）平滑方法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载波相位观测噪声远小于伪距观测噪声，因此可利用载波相位历元间变化对伪距进行平滑。本实验采用相邻历元 Hatch 平滑形式，并在观测中断或检测到明显异常时重置平滑状态。</w:t>
      </w:r>
    </w:p>
    <w:p>
      <w:pPr>
        <w:spacing w:before="40" w:after="8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R_k = (1/n)P_k + ((n-1)/n)[R_{k-1} + λ(φ_k - φ_{k-1})]    （4）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式中，R_k 为第 k 个历元的平滑伪距，P_k 为原始伪距，φ_k 为载波相位，λ 为相应频点波长，n 为平滑历元数。本实验平滑窗口最大取 120 个历元。</w:t>
      </w:r>
    </w:p>
    <w:p>
      <w:pPr>
        <w:spacing w:before="120" w:after="80" w:line="300" w:lineRule="auto"/>
      </w:pPr>
      <w:r>
        <w:rPr>
          <w:rFonts w:ascii="Times New Roman" w:hAnsi="Times New Roman" w:eastAsia="黑体"/>
          <w:b w:val="0"/>
          <w:sz w:val="24"/>
        </w:rPr>
        <w:t>（二）平滑效果与重新定位</w:t>
      </w:r>
    </w:p>
    <w:p>
      <w:pPr>
        <w:spacing w:before="0" w:after="8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6 给出了 GPS G19 与 BDS C12 平滑前后伪距变化量。GPS 与北斗的平滑变化量 RMS 分别约为 0.251 m 和 0.335 m，说明平滑处理对伪距噪声起到了抑制作用。</w:t>
      </w:r>
    </w:p>
    <w:p>
      <w:pPr>
        <w:spacing w:before="8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84000" cy="3628800"/>
            <wp:docPr id="1977385422" name="Picture 1977385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pseudorange_smoothing_del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6 平滑前后伪距变化量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使用平滑后的伪距重新进行 GPS+BDS 联合定位，并同样转换为 ENU 坐标偏离量。结果如图 7 所示。</w:t>
      </w:r>
    </w:p>
    <w:p>
      <w:pPr>
        <w:spacing w:before="8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84000" cy="3732480"/>
            <wp:docPr id="1977385423" name="Picture 1977385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smoothed_position_error_cep9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73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7 平滑伪距后坐标偏离曲线及 CEP95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平滑伪距后定位有效历元数为 7181，CEP95 = 0.45 m，同样满足 [0, 0.5] m 的精度要求。</w:t>
      </w:r>
    </w:p>
    <w:p>
      <w:pPr>
        <w:spacing w:before="160" w:after="120" w:line="300" w:lineRule="auto"/>
      </w:pPr>
      <w:r>
        <w:rPr>
          <w:rFonts w:ascii="Times New Roman" w:hAnsi="Times New Roman" w:eastAsia="黑体"/>
          <w:b w:val="0"/>
          <w:sz w:val="28"/>
        </w:rPr>
        <w:t>六、结果分析与结论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本次实验完成了 RINEX 数据读取、广播星历卫星位置计算、电离层延迟改正、GPS+BDS 联合伪距定位、周跳探测与修复以及载波相位平滑伪距等内容。7 张结果图均由 Python 程序直接输出，未采用截图方式。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从定位结果看，图 2 的 CEP95 = 0.45 m，图 7 的 CEP95 = 0.45 m，均位于 0 至 0.5 m 区间内。周跳实验中，人工加入的 100 周、10 周和 1 周周跳均能通过检测量突变体现，并可通过累计周跳量反向改正恢复。载波相位平滑伪距后，伪距变化量更平稳，重新定位结果保持较高精度。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综上，本次实习验证了广播星历定位、电离层延迟改正、周跳检测修复和载波相位平滑伪距的基本流程。实验结果表明，在静态测点条件下，GPS 与北斗联合解算能够获得稳定的坐标偏离曲线和满足要求的 CEP95 精度。</w:t>
      </w:r>
    </w:p>
    <w:p>
      <w:r>
        <w:br w:type="page"/>
      </w:r>
    </w:p>
    <w:p w14:paraId="4488971F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南京邮电大学</w:t>
      </w:r>
    </w:p>
    <w:p w14:paraId="471A54D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《GPS实习》指导教师成绩评定表</w:t>
      </w:r>
    </w:p>
    <w:p w14:paraId="5836322B"/>
    <w:tbl>
      <w:tblPr>
        <w:tblStyle w:val="10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1176"/>
        <w:gridCol w:w="144"/>
        <w:gridCol w:w="1248"/>
        <w:gridCol w:w="362"/>
        <w:gridCol w:w="1465"/>
        <w:gridCol w:w="801"/>
        <w:gridCol w:w="432"/>
        <w:gridCol w:w="232"/>
        <w:gridCol w:w="356"/>
        <w:gridCol w:w="1111"/>
      </w:tblGrid>
      <w:tr w14:paraId="375D7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Align w:val="center"/>
          </w:tcPr>
          <w:p w14:paraId="322F88F1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题  目</w:t>
            </w:r>
          </w:p>
        </w:tc>
        <w:tc>
          <w:tcPr>
            <w:tcW w:w="7327" w:type="dxa"/>
            <w:gridSpan w:val="10"/>
            <w:vAlign w:val="center"/>
          </w:tcPr>
          <w:p w14:paraId="64A55FEA">
            <w:pPr>
              <w:spacing w:before="0" w:after="0" w:line="300" w:lineRule="auto"/>
              <w:rPr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kern w:val="0"/>
                <w:sz w:val="21"/>
                <w:szCs w:val="20"/>
              </w:rPr>
              <w:t>GPS实习</w:t>
            </w:r>
          </w:p>
        </w:tc>
      </w:tr>
      <w:tr w14:paraId="348FA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Align w:val="center"/>
          </w:tcPr>
          <w:p w14:paraId="16A22BA0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学生姓名</w:t>
            </w:r>
          </w:p>
        </w:tc>
        <w:tc>
          <w:tcPr>
            <w:tcW w:w="1320" w:type="dxa"/>
            <w:gridSpan w:val="2"/>
            <w:vAlign w:val="center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胡杨</w:t>
            </w:r>
          </w:p>
        </w:tc>
        <w:tc>
          <w:tcPr>
            <w:tcW w:w="1248" w:type="dxa"/>
            <w:vAlign w:val="center"/>
          </w:tcPr>
          <w:p w14:paraId="019E4EED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班级学号</w:t>
            </w:r>
          </w:p>
        </w:tc>
        <w:tc>
          <w:tcPr>
            <w:tcW w:w="1827" w:type="dxa"/>
            <w:gridSpan w:val="2"/>
            <w:vAlign w:val="center"/>
          </w:tcPr>
          <w:p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B23100118</w:t>
            </w:r>
          </w:p>
        </w:tc>
        <w:tc>
          <w:tcPr>
            <w:tcW w:w="1233" w:type="dxa"/>
            <w:gridSpan w:val="2"/>
            <w:vAlign w:val="center"/>
          </w:tcPr>
          <w:p w14:paraId="79FFDA17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专业</w:t>
            </w:r>
          </w:p>
        </w:tc>
        <w:tc>
          <w:tcPr>
            <w:tcW w:w="1699" w:type="dxa"/>
            <w:gridSpan w:val="3"/>
            <w:vAlign w:val="center"/>
          </w:tcPr>
          <w:p w14:paraId="675EA292">
            <w:pPr>
              <w:spacing w:before="0" w:after="0" w:line="300" w:lineRule="auto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地理信息科学</w:t>
            </w:r>
          </w:p>
        </w:tc>
      </w:tr>
      <w:tr w14:paraId="4B03C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Align w:val="center"/>
          </w:tcPr>
          <w:p w14:paraId="060CADDC">
            <w:pPr>
              <w:spacing w:before="0" w:after="0" w:line="300" w:lineRule="auto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评分内容</w:t>
            </w:r>
          </w:p>
        </w:tc>
        <w:tc>
          <w:tcPr>
            <w:tcW w:w="5196" w:type="dxa"/>
            <w:gridSpan w:val="6"/>
            <w:vAlign w:val="center"/>
          </w:tcPr>
          <w:p w14:paraId="2F767BDB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评分标准</w:t>
            </w:r>
          </w:p>
        </w:tc>
        <w:tc>
          <w:tcPr>
            <w:tcW w:w="1020" w:type="dxa"/>
            <w:gridSpan w:val="3"/>
            <w:vAlign w:val="center"/>
          </w:tcPr>
          <w:p w14:paraId="6F7A5D78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总分</w:t>
            </w:r>
          </w:p>
        </w:tc>
        <w:tc>
          <w:tcPr>
            <w:tcW w:w="1111" w:type="dxa"/>
            <w:vAlign w:val="center"/>
          </w:tcPr>
          <w:p w14:paraId="4460A76D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评分</w:t>
            </w:r>
          </w:p>
        </w:tc>
      </w:tr>
      <w:tr w14:paraId="6141F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195" w:type="dxa"/>
            <w:vAlign w:val="center"/>
          </w:tcPr>
          <w:p w14:paraId="6B7E67C6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kern w:val="0"/>
                <w:sz w:val="21"/>
                <w:szCs w:val="20"/>
              </w:rPr>
              <w:t>平时表现</w:t>
            </w:r>
          </w:p>
          <w:p w14:paraId="6B600DFD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kern w:val="0"/>
                <w:sz w:val="21"/>
                <w:szCs w:val="20"/>
              </w:rPr>
              <w:t>（10分）</w:t>
            </w:r>
          </w:p>
        </w:tc>
        <w:tc>
          <w:tcPr>
            <w:tcW w:w="5196" w:type="dxa"/>
            <w:gridSpan w:val="6"/>
            <w:vAlign w:val="center"/>
          </w:tcPr>
          <w:p w14:paraId="5F0594E0">
            <w:pPr>
              <w:spacing w:before="0" w:after="0" w:line="300" w:lineRule="auto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按时到课，不缺勤。</w:t>
            </w:r>
          </w:p>
        </w:tc>
        <w:tc>
          <w:tcPr>
            <w:tcW w:w="1020" w:type="dxa"/>
            <w:gridSpan w:val="3"/>
            <w:vAlign w:val="center"/>
          </w:tcPr>
          <w:p w14:paraId="742D39DA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kern w:val="0"/>
                <w:sz w:val="21"/>
                <w:szCs w:val="20"/>
              </w:rPr>
              <w:t>10</w:t>
            </w:r>
          </w:p>
        </w:tc>
        <w:tc>
          <w:tcPr>
            <w:tcW w:w="1111" w:type="dxa"/>
            <w:vAlign w:val="center"/>
          </w:tcPr>
          <w:p w14:paraId="0611504B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34F25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Merge w:val="restart"/>
            <w:vAlign w:val="center"/>
          </w:tcPr>
          <w:p w14:paraId="3A9B9C78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kern w:val="0"/>
                <w:sz w:val="21"/>
                <w:szCs w:val="20"/>
              </w:rPr>
              <w:t>实验内容</w:t>
            </w:r>
          </w:p>
          <w:p w14:paraId="7ECE71FE">
            <w:pPr>
              <w:spacing w:before="0" w:after="0" w:line="300" w:lineRule="auto"/>
              <w:jc w:val="center"/>
              <w:rPr>
                <w:rFonts w:hint="eastAsia" w:eastAsia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  <w:lang w:val="en-US" w:eastAsia="zh-CN"/>
              </w:rPr>
              <w:t>80分</w:t>
            </w: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  <w:lang w:eastAsia="zh-CN"/>
              </w:rPr>
              <w:t>）</w:t>
            </w:r>
          </w:p>
        </w:tc>
        <w:tc>
          <w:tcPr>
            <w:tcW w:w="5196" w:type="dxa"/>
            <w:gridSpan w:val="6"/>
            <w:vAlign w:val="center"/>
          </w:tcPr>
          <w:p w14:paraId="50F82BA3">
            <w:pPr>
              <w:spacing w:before="0" w:after="0" w:line="300" w:lineRule="auto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卫星概略坐标计算</w:t>
            </w:r>
          </w:p>
        </w:tc>
        <w:tc>
          <w:tcPr>
            <w:tcW w:w="1020" w:type="dxa"/>
            <w:gridSpan w:val="3"/>
            <w:vAlign w:val="center"/>
          </w:tcPr>
          <w:p w14:paraId="5BAEEA8C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  <w:lang w:val="en-US" w:eastAsia="zh-CN"/>
              </w:rPr>
              <w:t>2</w:t>
            </w:r>
            <w:r>
              <w:rPr>
                <w:rFonts w:ascii="Times New Roman" w:hAnsi="Times New Roman" w:eastAsia="宋体"/>
                <w:b w:val="0"/>
                <w:kern w:val="0"/>
                <w:sz w:val="21"/>
                <w:szCs w:val="20"/>
              </w:rPr>
              <w:t>0</w:t>
            </w:r>
          </w:p>
        </w:tc>
        <w:tc>
          <w:tcPr>
            <w:tcW w:w="1111" w:type="dxa"/>
            <w:vAlign w:val="center"/>
          </w:tcPr>
          <w:p w14:paraId="6068F0FF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0D8F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Merge w:val="continue"/>
            <w:vAlign w:val="center"/>
          </w:tcPr>
          <w:p w14:paraId="6855F2E1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5196" w:type="dxa"/>
            <w:gridSpan w:val="6"/>
            <w:vAlign w:val="center"/>
          </w:tcPr>
          <w:p w14:paraId="44538671">
            <w:pPr>
              <w:spacing w:before="0" w:after="0" w:line="300" w:lineRule="auto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电离层延迟校正</w:t>
            </w:r>
          </w:p>
        </w:tc>
        <w:tc>
          <w:tcPr>
            <w:tcW w:w="1020" w:type="dxa"/>
            <w:gridSpan w:val="3"/>
            <w:vAlign w:val="center"/>
          </w:tcPr>
          <w:p w14:paraId="53597BAF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kern w:val="0"/>
                <w:sz w:val="21"/>
                <w:szCs w:val="20"/>
              </w:rPr>
              <w:t>20</w:t>
            </w:r>
          </w:p>
        </w:tc>
        <w:tc>
          <w:tcPr>
            <w:tcW w:w="1111" w:type="dxa"/>
            <w:vAlign w:val="center"/>
          </w:tcPr>
          <w:p w14:paraId="2AEAD23A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05E29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Merge w:val="continue"/>
            <w:vAlign w:val="center"/>
          </w:tcPr>
          <w:p w14:paraId="5CCEBB07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5196" w:type="dxa"/>
            <w:gridSpan w:val="6"/>
            <w:vAlign w:val="center"/>
          </w:tcPr>
          <w:p w14:paraId="01E9F275">
            <w:pPr>
              <w:spacing w:before="0" w:after="0" w:line="300" w:lineRule="auto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周跳探测与修复</w:t>
            </w:r>
          </w:p>
        </w:tc>
        <w:tc>
          <w:tcPr>
            <w:tcW w:w="1020" w:type="dxa"/>
            <w:gridSpan w:val="3"/>
            <w:vAlign w:val="center"/>
          </w:tcPr>
          <w:p w14:paraId="07073019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kern w:val="0"/>
                <w:sz w:val="21"/>
                <w:szCs w:val="20"/>
              </w:rPr>
              <w:t>20</w:t>
            </w:r>
          </w:p>
        </w:tc>
        <w:tc>
          <w:tcPr>
            <w:tcW w:w="1111" w:type="dxa"/>
            <w:vAlign w:val="center"/>
          </w:tcPr>
          <w:p w14:paraId="39CCEE66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6F1C1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Merge w:val="continue"/>
            <w:vAlign w:val="center"/>
          </w:tcPr>
          <w:p w14:paraId="618E7929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5196" w:type="dxa"/>
            <w:gridSpan w:val="6"/>
            <w:vAlign w:val="center"/>
          </w:tcPr>
          <w:p w14:paraId="31CAFBAD">
            <w:pPr>
              <w:spacing w:before="0" w:after="0" w:line="300" w:lineRule="auto"/>
              <w:rPr>
                <w:rFonts w:hint="default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  <w:lang w:val="en-US" w:eastAsia="zh-CN"/>
              </w:rPr>
              <w:t>载波相位平滑伪距</w:t>
            </w:r>
          </w:p>
        </w:tc>
        <w:tc>
          <w:tcPr>
            <w:tcW w:w="1020" w:type="dxa"/>
            <w:gridSpan w:val="3"/>
            <w:vAlign w:val="center"/>
          </w:tcPr>
          <w:p w14:paraId="5325F742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kern w:val="0"/>
                <w:sz w:val="21"/>
                <w:szCs w:val="20"/>
              </w:rPr>
              <w:t>20</w:t>
            </w:r>
          </w:p>
        </w:tc>
        <w:tc>
          <w:tcPr>
            <w:tcW w:w="1111" w:type="dxa"/>
            <w:vAlign w:val="center"/>
          </w:tcPr>
          <w:p w14:paraId="728B8FE4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1172F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exact"/>
        </w:trPr>
        <w:tc>
          <w:tcPr>
            <w:tcW w:w="1195" w:type="dxa"/>
            <w:vAlign w:val="center"/>
          </w:tcPr>
          <w:p w14:paraId="232F1C73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kern w:val="0"/>
                <w:sz w:val="21"/>
                <w:szCs w:val="20"/>
              </w:rPr>
              <w:t>文档写作</w:t>
            </w:r>
          </w:p>
          <w:p w14:paraId="61631DF3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kern w:val="0"/>
                <w:sz w:val="21"/>
                <w:szCs w:val="20"/>
              </w:rPr>
              <w:t>（10分）</w:t>
            </w:r>
          </w:p>
        </w:tc>
        <w:tc>
          <w:tcPr>
            <w:tcW w:w="5196" w:type="dxa"/>
            <w:gridSpan w:val="6"/>
            <w:vAlign w:val="center"/>
          </w:tcPr>
          <w:p w14:paraId="3280D9A1">
            <w:pPr>
              <w:spacing w:before="0" w:after="0" w:line="300" w:lineRule="auto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文档行文规范，符合格式要求</w:t>
            </w:r>
          </w:p>
        </w:tc>
        <w:tc>
          <w:tcPr>
            <w:tcW w:w="1020" w:type="dxa"/>
            <w:gridSpan w:val="3"/>
            <w:vAlign w:val="center"/>
          </w:tcPr>
          <w:p w14:paraId="1429D3FA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kern w:val="0"/>
                <w:sz w:val="21"/>
                <w:szCs w:val="20"/>
              </w:rPr>
              <w:t>10</w:t>
            </w:r>
          </w:p>
        </w:tc>
        <w:tc>
          <w:tcPr>
            <w:tcW w:w="1111" w:type="dxa"/>
            <w:vAlign w:val="center"/>
          </w:tcPr>
          <w:p w14:paraId="23B5D32C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042EC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Align w:val="center"/>
          </w:tcPr>
          <w:p w14:paraId="03AF54D1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总评分</w:t>
            </w:r>
          </w:p>
        </w:tc>
        <w:tc>
          <w:tcPr>
            <w:tcW w:w="7327" w:type="dxa"/>
            <w:gridSpan w:val="10"/>
            <w:vAlign w:val="center"/>
          </w:tcPr>
          <w:p w14:paraId="78558727">
            <w:pPr>
              <w:spacing w:before="0" w:after="0" w:line="300" w:lineRule="auto"/>
              <w:rPr>
                <w:kern w:val="0"/>
                <w:sz w:val="20"/>
                <w:szCs w:val="20"/>
              </w:rPr>
            </w:pPr>
          </w:p>
        </w:tc>
      </w:tr>
      <w:tr w14:paraId="34AB7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3" w:hRule="exact"/>
        </w:trPr>
        <w:tc>
          <w:tcPr>
            <w:tcW w:w="1195" w:type="dxa"/>
            <w:vAlign w:val="center"/>
          </w:tcPr>
          <w:p w14:paraId="12071107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b w:val="0"/>
                <w:kern w:val="0"/>
                <w:sz w:val="21"/>
                <w:szCs w:val="20"/>
              </w:rPr>
              <w:t>指导教师评阅意见</w:t>
            </w:r>
          </w:p>
          <w:p w14:paraId="3424FC88">
            <w:pPr>
              <w:spacing w:before="0" w:after="0" w:line="300" w:lineRule="auto"/>
              <w:rPr>
                <w:kern w:val="0"/>
                <w:sz w:val="20"/>
                <w:szCs w:val="20"/>
              </w:rPr>
            </w:pPr>
          </w:p>
        </w:tc>
        <w:tc>
          <w:tcPr>
            <w:tcW w:w="7327" w:type="dxa"/>
            <w:gridSpan w:val="10"/>
            <w:vAlign w:val="center"/>
          </w:tcPr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63"/>
              <w:gridCol w:w="1134"/>
              <w:gridCol w:w="1134"/>
              <w:gridCol w:w="1134"/>
              <w:gridCol w:w="1136"/>
            </w:tblGrid>
            <w:tr w14:paraId="69685D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3" w:type="dxa"/>
                  <w:tcBorders>
                    <w:tl2br w:val="nil"/>
                    <w:tr2bl w:val="nil"/>
                  </w:tcBorders>
                </w:tcPr>
                <w:p w14:paraId="09F8AFB9">
                  <w:pPr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该生对待课程设计的态度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2479F62B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很好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75E59EAB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较好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0504F82A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一般</w:t>
                  </w:r>
                </w:p>
              </w:tc>
              <w:tc>
                <w:tcPr>
                  <w:tcW w:w="1136" w:type="dxa"/>
                  <w:tcBorders>
                    <w:tl2br w:val="nil"/>
                    <w:tr2bl w:val="nil"/>
                  </w:tcBorders>
                </w:tcPr>
                <w:p w14:paraId="2AB1286B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较差</w:t>
                  </w:r>
                </w:p>
              </w:tc>
            </w:tr>
            <w:tr w14:paraId="2CEE78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3" w:type="dxa"/>
                  <w:tcBorders>
                    <w:tl2br w:val="nil"/>
                    <w:tr2bl w:val="nil"/>
                  </w:tcBorders>
                </w:tcPr>
                <w:p w14:paraId="63D5D0AE">
                  <w:pPr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设计方案质量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1CB37D21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很好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2CD40D44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较好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5E0DBEF8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一般</w:t>
                  </w:r>
                </w:p>
              </w:tc>
              <w:tc>
                <w:tcPr>
                  <w:tcW w:w="1136" w:type="dxa"/>
                  <w:tcBorders>
                    <w:tl2br w:val="nil"/>
                    <w:tr2bl w:val="nil"/>
                  </w:tcBorders>
                </w:tcPr>
                <w:p w14:paraId="5064250E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较差</w:t>
                  </w:r>
                </w:p>
              </w:tc>
            </w:tr>
            <w:tr w14:paraId="33E045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3" w:type="dxa"/>
                  <w:tcBorders>
                    <w:tl2br w:val="nil"/>
                    <w:tr2bl w:val="nil"/>
                  </w:tcBorders>
                </w:tcPr>
                <w:p w14:paraId="539888F2">
                  <w:pPr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文档编写逻辑清晰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1DCA8EAC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很好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7ED01F64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较好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11514767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一般</w:t>
                  </w:r>
                </w:p>
              </w:tc>
              <w:tc>
                <w:tcPr>
                  <w:tcW w:w="1136" w:type="dxa"/>
                  <w:tcBorders>
                    <w:tl2br w:val="nil"/>
                    <w:tr2bl w:val="nil"/>
                  </w:tcBorders>
                </w:tcPr>
                <w:p w14:paraId="762CE87F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较差</w:t>
                  </w:r>
                </w:p>
              </w:tc>
            </w:tr>
          </w:tbl>
          <w:p w14:paraId="3DCA9EB2">
            <w:pPr>
              <w:spacing w:before="0" w:after="0" w:line="300" w:lineRule="auto"/>
              <w:rPr>
                <w:kern w:val="0"/>
                <w:sz w:val="20"/>
                <w:szCs w:val="20"/>
              </w:rPr>
            </w:pPr>
          </w:p>
          <w:p w14:paraId="2136FA38">
            <w:pPr>
              <w:spacing w:before="0" w:after="0" w:line="300" w:lineRule="auto"/>
              <w:rPr>
                <w:kern w:val="0"/>
                <w:sz w:val="20"/>
                <w:szCs w:val="20"/>
              </w:rPr>
            </w:pPr>
          </w:p>
          <w:p w14:paraId="5529EADE">
            <w:pPr>
              <w:spacing w:before="0" w:after="0" w:line="300" w:lineRule="auto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完成的设计方案特色之处：</w:t>
            </w:r>
          </w:p>
          <w:p w14:paraId="44242D27">
            <w:pPr>
              <w:spacing w:before="0" w:after="0" w:line="300" w:lineRule="auto"/>
              <w:rPr>
                <w:kern w:val="0"/>
                <w:sz w:val="20"/>
                <w:szCs w:val="20"/>
              </w:rPr>
            </w:pPr>
          </w:p>
          <w:p w14:paraId="3AE4F73A">
            <w:pPr>
              <w:spacing w:before="0" w:after="0" w:line="300" w:lineRule="auto"/>
              <w:rPr>
                <w:kern w:val="0"/>
                <w:sz w:val="20"/>
                <w:szCs w:val="20"/>
              </w:rPr>
            </w:pPr>
          </w:p>
          <w:p w14:paraId="7CED3F89">
            <w:pPr>
              <w:spacing w:before="0" w:after="0" w:line="300" w:lineRule="auto"/>
              <w:rPr>
                <w:kern w:val="0"/>
                <w:sz w:val="20"/>
                <w:szCs w:val="20"/>
              </w:rPr>
            </w:pPr>
          </w:p>
        </w:tc>
      </w:tr>
      <w:tr w14:paraId="1B80A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Align w:val="center"/>
          </w:tcPr>
          <w:p w14:paraId="31334D2F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成绩</w:t>
            </w:r>
          </w:p>
        </w:tc>
        <w:tc>
          <w:tcPr>
            <w:tcW w:w="1176" w:type="dxa"/>
            <w:vAlign w:val="center"/>
          </w:tcPr>
          <w:p w14:paraId="1824DFCA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1754" w:type="dxa"/>
            <w:gridSpan w:val="3"/>
            <w:vAlign w:val="center"/>
          </w:tcPr>
          <w:p w14:paraId="59AA0872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指导教师签名</w:t>
            </w:r>
          </w:p>
        </w:tc>
        <w:tc>
          <w:tcPr>
            <w:tcW w:w="1465" w:type="dxa"/>
            <w:vAlign w:val="center"/>
          </w:tcPr>
          <w:p w14:paraId="6B12E2DD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1465" w:type="dxa"/>
            <w:gridSpan w:val="3"/>
            <w:vAlign w:val="center"/>
          </w:tcPr>
          <w:p w14:paraId="4E96363D">
            <w:pPr>
              <w:spacing w:before="0" w:after="0" w:line="300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</w:rPr>
              <w:t>日期</w:t>
            </w:r>
          </w:p>
        </w:tc>
        <w:tc>
          <w:tcPr>
            <w:tcW w:w="1467" w:type="dxa"/>
            <w:gridSpan w:val="2"/>
            <w:vAlign w:val="center"/>
          </w:tcPr>
          <w:p w14:paraId="73ABA909">
            <w:pPr>
              <w:spacing w:before="0" w:after="0" w:line="300" w:lineRule="auto"/>
              <w:jc w:val="center"/>
              <w:rPr>
                <w:rFonts w:hint="eastAsia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kern w:val="0"/>
                <w:sz w:val="21"/>
                <w:szCs w:val="20"/>
              </w:rPr>
              <w:t>202</w:t>
            </w: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b w:val="0"/>
                <w:kern w:val="0"/>
                <w:sz w:val="21"/>
                <w:szCs w:val="20"/>
              </w:rPr>
              <w:t>.</w:t>
            </w: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b w:val="0"/>
                <w:kern w:val="0"/>
                <w:sz w:val="21"/>
                <w:szCs w:val="20"/>
              </w:rPr>
              <w:t>.2</w:t>
            </w:r>
            <w:r>
              <w:rPr>
                <w:rFonts w:hint="eastAsia" w:ascii="Times New Roman" w:hAnsi="Times New Roman" w:eastAsia="宋体"/>
                <w:b w:val="0"/>
                <w:kern w:val="0"/>
                <w:sz w:val="21"/>
                <w:szCs w:val="20"/>
                <w:lang w:val="en-US" w:eastAsia="zh-CN"/>
              </w:rPr>
              <w:t>6</w:t>
            </w:r>
          </w:p>
        </w:tc>
      </w:tr>
    </w:tbl>
    <w:p w14:paraId="1F5B3A94">
      <w:pPr>
        <w:widowControl/>
        <w:jc w:val="left"/>
        <w:rPr>
          <w:b/>
          <w:sz w:val="32"/>
          <w:szCs w:val="32"/>
        </w:rPr>
      </w:pPr>
    </w:p>
    <w:sectPr>
      <w:pgSz w:w="11906" w:h="16838"/>
      <w:pgMar w:top="1440" w:right="1757" w:bottom="1440" w:left="175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urrentStyleCount" w:val="5"/>
  </w:docVars>
  <w:rsids>
    <w:rsidRoot w:val="00F03787"/>
    <w:rsid w:val="0000091F"/>
    <w:rsid w:val="00007A1C"/>
    <w:rsid w:val="00007ED1"/>
    <w:rsid w:val="00012201"/>
    <w:rsid w:val="000473DF"/>
    <w:rsid w:val="00055626"/>
    <w:rsid w:val="00060249"/>
    <w:rsid w:val="000670E2"/>
    <w:rsid w:val="000748C6"/>
    <w:rsid w:val="00083084"/>
    <w:rsid w:val="000869C8"/>
    <w:rsid w:val="0009436D"/>
    <w:rsid w:val="000A3639"/>
    <w:rsid w:val="000A5F16"/>
    <w:rsid w:val="000A69AE"/>
    <w:rsid w:val="000A6B86"/>
    <w:rsid w:val="000B5186"/>
    <w:rsid w:val="000E2047"/>
    <w:rsid w:val="000F209E"/>
    <w:rsid w:val="000F2341"/>
    <w:rsid w:val="001048DE"/>
    <w:rsid w:val="00115C0C"/>
    <w:rsid w:val="00130CED"/>
    <w:rsid w:val="001513CF"/>
    <w:rsid w:val="001643C5"/>
    <w:rsid w:val="0018003C"/>
    <w:rsid w:val="00182260"/>
    <w:rsid w:val="00184C5E"/>
    <w:rsid w:val="00185712"/>
    <w:rsid w:val="001904CF"/>
    <w:rsid w:val="001953DC"/>
    <w:rsid w:val="001A1B3C"/>
    <w:rsid w:val="001A7EC9"/>
    <w:rsid w:val="001B0CCE"/>
    <w:rsid w:val="001B5094"/>
    <w:rsid w:val="001B5571"/>
    <w:rsid w:val="001C0FFC"/>
    <w:rsid w:val="001C2984"/>
    <w:rsid w:val="001C71B9"/>
    <w:rsid w:val="001E3325"/>
    <w:rsid w:val="00202AF3"/>
    <w:rsid w:val="002144AD"/>
    <w:rsid w:val="00226D76"/>
    <w:rsid w:val="00234FE4"/>
    <w:rsid w:val="00245CD6"/>
    <w:rsid w:val="00257616"/>
    <w:rsid w:val="002710E1"/>
    <w:rsid w:val="002728FF"/>
    <w:rsid w:val="002A5AFE"/>
    <w:rsid w:val="002A7575"/>
    <w:rsid w:val="002F1B92"/>
    <w:rsid w:val="002F30F0"/>
    <w:rsid w:val="002F6C02"/>
    <w:rsid w:val="002F6E3A"/>
    <w:rsid w:val="00301D09"/>
    <w:rsid w:val="00303B29"/>
    <w:rsid w:val="00311CB7"/>
    <w:rsid w:val="00341E7F"/>
    <w:rsid w:val="00344FA4"/>
    <w:rsid w:val="00351584"/>
    <w:rsid w:val="003565EB"/>
    <w:rsid w:val="00372683"/>
    <w:rsid w:val="003727EF"/>
    <w:rsid w:val="00372E5C"/>
    <w:rsid w:val="003773B2"/>
    <w:rsid w:val="0037782B"/>
    <w:rsid w:val="00382550"/>
    <w:rsid w:val="00386DC6"/>
    <w:rsid w:val="003878C8"/>
    <w:rsid w:val="0039021F"/>
    <w:rsid w:val="00390822"/>
    <w:rsid w:val="00390A5C"/>
    <w:rsid w:val="00395BB1"/>
    <w:rsid w:val="00402CB3"/>
    <w:rsid w:val="004107C9"/>
    <w:rsid w:val="00414A68"/>
    <w:rsid w:val="00416AA1"/>
    <w:rsid w:val="0042102C"/>
    <w:rsid w:val="00425FF9"/>
    <w:rsid w:val="004274C7"/>
    <w:rsid w:val="004306DB"/>
    <w:rsid w:val="004313CA"/>
    <w:rsid w:val="00435634"/>
    <w:rsid w:val="004A0059"/>
    <w:rsid w:val="004B25A0"/>
    <w:rsid w:val="004E1D2A"/>
    <w:rsid w:val="004F1A34"/>
    <w:rsid w:val="005107F4"/>
    <w:rsid w:val="0052384C"/>
    <w:rsid w:val="00531BAE"/>
    <w:rsid w:val="005416CC"/>
    <w:rsid w:val="00542DF6"/>
    <w:rsid w:val="0054385C"/>
    <w:rsid w:val="0054434C"/>
    <w:rsid w:val="005460FB"/>
    <w:rsid w:val="00551247"/>
    <w:rsid w:val="00554C10"/>
    <w:rsid w:val="00555DA4"/>
    <w:rsid w:val="00561A56"/>
    <w:rsid w:val="00565EC8"/>
    <w:rsid w:val="00575E28"/>
    <w:rsid w:val="00583762"/>
    <w:rsid w:val="005B6E9E"/>
    <w:rsid w:val="005D4810"/>
    <w:rsid w:val="005E493C"/>
    <w:rsid w:val="005E6882"/>
    <w:rsid w:val="00603A02"/>
    <w:rsid w:val="006065C0"/>
    <w:rsid w:val="0061316C"/>
    <w:rsid w:val="0061329A"/>
    <w:rsid w:val="00632957"/>
    <w:rsid w:val="00640AAC"/>
    <w:rsid w:val="006417A2"/>
    <w:rsid w:val="0065009A"/>
    <w:rsid w:val="006561BA"/>
    <w:rsid w:val="00656F62"/>
    <w:rsid w:val="00660535"/>
    <w:rsid w:val="00667E76"/>
    <w:rsid w:val="006A2B7B"/>
    <w:rsid w:val="006B0365"/>
    <w:rsid w:val="006B64C4"/>
    <w:rsid w:val="006C2350"/>
    <w:rsid w:val="006C7416"/>
    <w:rsid w:val="006C76E8"/>
    <w:rsid w:val="006D2C92"/>
    <w:rsid w:val="006E0A23"/>
    <w:rsid w:val="006E1EE9"/>
    <w:rsid w:val="006F38ED"/>
    <w:rsid w:val="00700DAE"/>
    <w:rsid w:val="007038A1"/>
    <w:rsid w:val="0070591D"/>
    <w:rsid w:val="0071395E"/>
    <w:rsid w:val="00727707"/>
    <w:rsid w:val="007319D7"/>
    <w:rsid w:val="00741D8B"/>
    <w:rsid w:val="00761BFD"/>
    <w:rsid w:val="00770C16"/>
    <w:rsid w:val="00775020"/>
    <w:rsid w:val="00776E59"/>
    <w:rsid w:val="007A1030"/>
    <w:rsid w:val="007D29C8"/>
    <w:rsid w:val="007E0F6C"/>
    <w:rsid w:val="007E6BA8"/>
    <w:rsid w:val="007E7F46"/>
    <w:rsid w:val="00800D32"/>
    <w:rsid w:val="00805678"/>
    <w:rsid w:val="00830BDA"/>
    <w:rsid w:val="00831DE3"/>
    <w:rsid w:val="00893CF7"/>
    <w:rsid w:val="0089501A"/>
    <w:rsid w:val="00896DC9"/>
    <w:rsid w:val="008A1128"/>
    <w:rsid w:val="008B2BDA"/>
    <w:rsid w:val="008B3E71"/>
    <w:rsid w:val="008C7D73"/>
    <w:rsid w:val="008D530F"/>
    <w:rsid w:val="008F1AC3"/>
    <w:rsid w:val="008F5D69"/>
    <w:rsid w:val="00924531"/>
    <w:rsid w:val="009260AD"/>
    <w:rsid w:val="0093362C"/>
    <w:rsid w:val="00945BCC"/>
    <w:rsid w:val="00965C8F"/>
    <w:rsid w:val="0096680B"/>
    <w:rsid w:val="00977E77"/>
    <w:rsid w:val="00996F63"/>
    <w:rsid w:val="009A1F82"/>
    <w:rsid w:val="009B52AC"/>
    <w:rsid w:val="009B5A59"/>
    <w:rsid w:val="009C2A41"/>
    <w:rsid w:val="009D119D"/>
    <w:rsid w:val="009F07ED"/>
    <w:rsid w:val="009F136F"/>
    <w:rsid w:val="009F5D22"/>
    <w:rsid w:val="009F75DA"/>
    <w:rsid w:val="00A27ED8"/>
    <w:rsid w:val="00A44F76"/>
    <w:rsid w:val="00A653E5"/>
    <w:rsid w:val="00A66962"/>
    <w:rsid w:val="00A7527A"/>
    <w:rsid w:val="00A820B3"/>
    <w:rsid w:val="00A866D3"/>
    <w:rsid w:val="00AA7D3B"/>
    <w:rsid w:val="00AB6781"/>
    <w:rsid w:val="00AB6B86"/>
    <w:rsid w:val="00AD0622"/>
    <w:rsid w:val="00AD7EB8"/>
    <w:rsid w:val="00AE3B9C"/>
    <w:rsid w:val="00AE4EFA"/>
    <w:rsid w:val="00B034F9"/>
    <w:rsid w:val="00B05330"/>
    <w:rsid w:val="00B206DF"/>
    <w:rsid w:val="00B239E0"/>
    <w:rsid w:val="00B357F6"/>
    <w:rsid w:val="00B42345"/>
    <w:rsid w:val="00B4598E"/>
    <w:rsid w:val="00B611F0"/>
    <w:rsid w:val="00B65720"/>
    <w:rsid w:val="00BD36DF"/>
    <w:rsid w:val="00BD52C3"/>
    <w:rsid w:val="00BD6732"/>
    <w:rsid w:val="00BE5049"/>
    <w:rsid w:val="00BE5D65"/>
    <w:rsid w:val="00BE6791"/>
    <w:rsid w:val="00C05B06"/>
    <w:rsid w:val="00C12702"/>
    <w:rsid w:val="00C137F1"/>
    <w:rsid w:val="00C15738"/>
    <w:rsid w:val="00C21B88"/>
    <w:rsid w:val="00C314F3"/>
    <w:rsid w:val="00CA052E"/>
    <w:rsid w:val="00CA21E6"/>
    <w:rsid w:val="00CB50B4"/>
    <w:rsid w:val="00CD1D7F"/>
    <w:rsid w:val="00CD6301"/>
    <w:rsid w:val="00D10AF4"/>
    <w:rsid w:val="00D22C2F"/>
    <w:rsid w:val="00D34BA4"/>
    <w:rsid w:val="00D37EB4"/>
    <w:rsid w:val="00D4196E"/>
    <w:rsid w:val="00D44766"/>
    <w:rsid w:val="00D5094F"/>
    <w:rsid w:val="00D51D29"/>
    <w:rsid w:val="00D62633"/>
    <w:rsid w:val="00D70239"/>
    <w:rsid w:val="00D70F15"/>
    <w:rsid w:val="00D7253E"/>
    <w:rsid w:val="00D741B5"/>
    <w:rsid w:val="00D8024A"/>
    <w:rsid w:val="00D826C9"/>
    <w:rsid w:val="00D8449B"/>
    <w:rsid w:val="00DA01DA"/>
    <w:rsid w:val="00DB1241"/>
    <w:rsid w:val="00DD7388"/>
    <w:rsid w:val="00DF75E6"/>
    <w:rsid w:val="00E11277"/>
    <w:rsid w:val="00E775A0"/>
    <w:rsid w:val="00E84DAD"/>
    <w:rsid w:val="00E90330"/>
    <w:rsid w:val="00E94F0E"/>
    <w:rsid w:val="00EA4DBF"/>
    <w:rsid w:val="00EC220D"/>
    <w:rsid w:val="00ED11B6"/>
    <w:rsid w:val="00ED1D92"/>
    <w:rsid w:val="00ED2B9C"/>
    <w:rsid w:val="00EE4345"/>
    <w:rsid w:val="00EE5F75"/>
    <w:rsid w:val="00EE6B66"/>
    <w:rsid w:val="00EE7ACB"/>
    <w:rsid w:val="00F03787"/>
    <w:rsid w:val="00F1239C"/>
    <w:rsid w:val="00F24374"/>
    <w:rsid w:val="00F43A68"/>
    <w:rsid w:val="00F511F0"/>
    <w:rsid w:val="00F756C8"/>
    <w:rsid w:val="00F85DE9"/>
    <w:rsid w:val="00F9004B"/>
    <w:rsid w:val="00F91F07"/>
    <w:rsid w:val="00F94341"/>
    <w:rsid w:val="00FA096E"/>
    <w:rsid w:val="00FB5FAA"/>
    <w:rsid w:val="00FC47CB"/>
    <w:rsid w:val="00FE6C29"/>
    <w:rsid w:val="07AD3B8F"/>
    <w:rsid w:val="0AA5637A"/>
    <w:rsid w:val="0CBA266F"/>
    <w:rsid w:val="0FAB0EE6"/>
    <w:rsid w:val="103D739A"/>
    <w:rsid w:val="14DD53DE"/>
    <w:rsid w:val="192C2713"/>
    <w:rsid w:val="24EF58C2"/>
    <w:rsid w:val="24F14E9E"/>
    <w:rsid w:val="2CD977ED"/>
    <w:rsid w:val="2F441493"/>
    <w:rsid w:val="360441BF"/>
    <w:rsid w:val="3D0A4004"/>
    <w:rsid w:val="3F400856"/>
    <w:rsid w:val="3F8B4A3E"/>
    <w:rsid w:val="491F5EC6"/>
    <w:rsid w:val="4ACB5A46"/>
    <w:rsid w:val="55E02D43"/>
    <w:rsid w:val="56D557F9"/>
    <w:rsid w:val="5B426A53"/>
    <w:rsid w:val="5D626A4F"/>
    <w:rsid w:val="5D972330"/>
    <w:rsid w:val="5E9536C8"/>
    <w:rsid w:val="5FC30167"/>
    <w:rsid w:val="61F34CE4"/>
    <w:rsid w:val="62E0445B"/>
    <w:rsid w:val="64907ECC"/>
    <w:rsid w:val="6787060F"/>
    <w:rsid w:val="6B6B5F51"/>
    <w:rsid w:val="6BC473B0"/>
    <w:rsid w:val="6FC27733"/>
    <w:rsid w:val="77CF0586"/>
    <w:rsid w:val="7A8F398F"/>
    <w:rsid w:val="7E35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  <w14:ligatures w14:val="none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  <w:szCs w:val="20"/>
    </w:rPr>
  </w:style>
  <w:style w:type="paragraph" w:styleId="3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autoRedefine/>
    <w:unhideWhenUsed/>
    <w:qFormat/>
    <w:uiPriority w:val="39"/>
  </w:style>
  <w:style w:type="paragraph" w:styleId="6">
    <w:name w:val="Body Text Indent 3"/>
    <w:basedOn w:val="1"/>
    <w:qFormat/>
    <w:uiPriority w:val="0"/>
    <w:pPr>
      <w:ind w:firstLine="420"/>
    </w:pPr>
    <w:rPr>
      <w:rFonts w:ascii="宋体" w:hAnsi="宋体"/>
      <w:sz w:val="24"/>
    </w:rPr>
  </w:style>
  <w:style w:type="paragraph" w:styleId="7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rPr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0"/>
    <w:rPr>
      <w:b/>
      <w:bCs/>
    </w:r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11"/>
    <w:link w:val="4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3"/>
    <w:qFormat/>
    <w:uiPriority w:val="99"/>
    <w:rPr>
      <w:sz w:val="18"/>
      <w:szCs w:val="18"/>
    </w:rPr>
  </w:style>
  <w:style w:type="paragraph" w:styleId="16">
    <w:name w:val="List Paragraph"/>
    <w:basedOn w:val="1"/>
    <w:qFormat/>
    <w:uiPriority w:val="1"/>
    <w:pPr>
      <w:ind w:left="640" w:hanging="421"/>
    </w:pPr>
    <w:rPr>
      <w:rFonts w:ascii="宋体" w:hAnsi="宋体" w:cs="宋体"/>
      <w:szCs w:val="24"/>
      <w:lang w:val="zh-CN" w:bidi="zh-C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F417C-EE99-47A3-9983-B6AE405E1B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632</Words>
  <Characters>698</Characters>
  <Lines>244</Lines>
  <Paragraphs>268</Paragraphs>
  <TotalTime>0</TotalTime>
  <ScaleCrop>false</ScaleCrop>
  <LinksUpToDate>false</LinksUpToDate>
  <CharactersWithSpaces>910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2024-06-21T13:47:00Z</dcterms:created>
  <dc:creator>华剑椿</dc:creator>
  <cp:lastModifiedBy>胡杨</cp:lastModifiedBy>
  <cp:lastPrinted>2024-06-25T02:55:00Z</cp:lastPrinted>
  <dcterms:modified xsi:type="dcterms:W3CDTF">2026-06-22T03:14:00Z</dcterms:modified>
  <cp:revision>266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eyJoZGlkIjoiN2FmNmEyNTI2OWRlNmNiNDVmNDUwODBiMDZmZThhZTciLCJ1c2VySWQiOiIxNTU3MDkxMDYzIn0=</vt:lpwstr>
  </property>
  <property fmtid="{D5CDD505-2E9C-101B-9397-08002B2CF9AE}" pid="3" name="KSOProductBuildVer">
    <vt:lpwstr>2052-12.1.0.26373</vt:lpwstr>
  </property>
  <property fmtid="{D5CDD505-2E9C-101B-9397-08002B2CF9AE}" pid="4" name="ICV">
    <vt:lpwstr>60518C02D7704874AD0D3E5606075117_12</vt:lpwstr>
  </property>
</Properties>
</file>