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D410C71">
      <w:pPr>
        <w:spacing w:line="360" w:lineRule="auto"/>
        <w:rPr>
          <w:rFonts w:eastAsia="隶书"/>
        </w:rPr>
      </w:pPr>
      <w:bookmarkStart w:id="0" w:name="_Hlk138773525"/>
      <w:bookmarkEnd w:id="0"/>
    </w:p>
    <w:p w14:paraId="738739F1">
      <w:pPr>
        <w:spacing w:line="360" w:lineRule="auto"/>
        <w:rPr>
          <w:rFonts w:eastAsia="隶书"/>
        </w:rPr>
      </w:pPr>
      <w: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1466850</wp:posOffset>
            </wp:positionH>
            <wp:positionV relativeFrom="paragraph">
              <wp:posOffset>103505</wp:posOffset>
            </wp:positionV>
            <wp:extent cx="3716020" cy="914400"/>
            <wp:effectExtent l="0" t="0" r="0" b="0"/>
            <wp:wrapNone/>
            <wp:docPr id="1977385416" name="图片 2" descr="大学毛体（黑）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385416" name="图片 2" descr="大学毛体（黑）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biLevel thresh="50000"/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716020" cy="91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eastAsia="隶书"/>
        </w:rPr>
        <w:drawing>
          <wp:inline distT="0" distB="0" distL="0" distR="0">
            <wp:extent cx="1047750" cy="1047750"/>
            <wp:effectExtent l="0" t="0" r="0" b="0"/>
            <wp:docPr id="13386587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658714" name="图片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47750" cy="104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C6CC29">
      <w:pPr>
        <w:spacing w:line="360" w:lineRule="auto"/>
        <w:ind w:firstLine="435"/>
      </w:pPr>
    </w:p>
    <w:p w14:paraId="5693133D">
      <w:pPr>
        <w:spacing w:line="360" w:lineRule="auto"/>
        <w:ind w:left="1560" w:hanging="1560" w:hangingChars="300"/>
        <w:rPr>
          <w:rFonts w:eastAsia="华文行楷"/>
          <w:sz w:val="28"/>
        </w:rPr>
      </w:pPr>
      <w:r>
        <w:rPr>
          <w:rFonts w:eastAsia="华文行楷"/>
          <w:snapToGrid w:val="0"/>
          <w:sz w:val="52"/>
          <w:szCs w:val="52"/>
        </w:rPr>
        <w:t xml:space="preserve">     </w:t>
      </w:r>
      <w:r>
        <w:rPr>
          <w:rFonts w:eastAsia="华文行楷"/>
          <w:snapToGrid w:val="0"/>
          <w:szCs w:val="21"/>
        </w:rPr>
        <w:t xml:space="preserve"> </w:t>
      </w:r>
    </w:p>
    <w:p w14:paraId="6355FCE6">
      <w:pPr>
        <w:spacing w:line="360" w:lineRule="auto"/>
        <w:jc w:val="center"/>
        <w:rPr>
          <w:rFonts w:eastAsia="黑体"/>
          <w:sz w:val="44"/>
          <w:szCs w:val="44"/>
        </w:rPr>
      </w:pPr>
      <w:r>
        <w:rPr>
          <w:rFonts w:hint="eastAsia" w:eastAsia="黑体"/>
          <w:sz w:val="44"/>
          <w:szCs w:val="44"/>
        </w:rPr>
        <w:t>物联网</w:t>
      </w:r>
      <w:r>
        <w:rPr>
          <w:rFonts w:eastAsia="黑体"/>
          <w:sz w:val="44"/>
          <w:szCs w:val="44"/>
        </w:rPr>
        <w:t>学院</w:t>
      </w:r>
    </w:p>
    <w:p w14:paraId="74D3F96A">
      <w:pPr>
        <w:spacing w:line="360" w:lineRule="auto"/>
        <w:jc w:val="center"/>
        <w:rPr>
          <w:rFonts w:eastAsia="隶书"/>
        </w:rPr>
      </w:pPr>
    </w:p>
    <w:p w14:paraId="03144D00">
      <w:pPr>
        <w:spacing w:line="360" w:lineRule="auto"/>
        <w:jc w:val="center"/>
        <w:rPr>
          <w:rFonts w:eastAsia="隶书"/>
          <w:sz w:val="28"/>
          <w:szCs w:val="28"/>
        </w:rPr>
      </w:pPr>
      <w:r>
        <w:rPr>
          <w:rFonts w:eastAsia="隶书"/>
          <w:sz w:val="28"/>
          <w:szCs w:val="28"/>
        </w:rPr>
        <w:t>202</w:t>
      </w:r>
      <w:r>
        <w:rPr>
          <w:rFonts w:hint="eastAsia" w:eastAsia="隶书"/>
          <w:sz w:val="28"/>
          <w:szCs w:val="28"/>
          <w:lang w:val="en-US" w:eastAsia="zh-CN"/>
        </w:rPr>
        <w:t>5</w:t>
      </w:r>
      <w:r>
        <w:rPr>
          <w:rFonts w:eastAsia="隶书"/>
          <w:sz w:val="28"/>
          <w:szCs w:val="28"/>
        </w:rPr>
        <w:t xml:space="preserve"> / 202</w:t>
      </w:r>
      <w:r>
        <w:rPr>
          <w:rFonts w:hint="eastAsia" w:eastAsia="隶书"/>
          <w:sz w:val="28"/>
          <w:szCs w:val="28"/>
          <w:lang w:val="en-US" w:eastAsia="zh-CN"/>
        </w:rPr>
        <w:t>6</w:t>
      </w:r>
      <w:r>
        <w:rPr>
          <w:rFonts w:eastAsia="隶书"/>
          <w:sz w:val="28"/>
          <w:szCs w:val="28"/>
        </w:rPr>
        <w:t xml:space="preserve"> </w:t>
      </w:r>
      <w:r>
        <w:rPr>
          <w:rFonts w:eastAsia="楷体_GB2312"/>
          <w:sz w:val="28"/>
          <w:szCs w:val="28"/>
        </w:rPr>
        <w:t>学年第 2 学期</w:t>
      </w:r>
    </w:p>
    <w:p w14:paraId="3CDAA548">
      <w:pPr>
        <w:spacing w:line="360" w:lineRule="auto"/>
        <w:jc w:val="center"/>
        <w:rPr>
          <w:rFonts w:eastAsia="华文行楷"/>
          <w:sz w:val="84"/>
          <w:szCs w:val="84"/>
        </w:rPr>
      </w:pPr>
    </w:p>
    <w:p w14:paraId="2B03A269">
      <w:pPr>
        <w:spacing w:line="360" w:lineRule="auto"/>
        <w:jc w:val="center"/>
        <w:rPr>
          <w:rFonts w:eastAsia="华文行楷"/>
          <w:sz w:val="84"/>
          <w:szCs w:val="84"/>
        </w:rPr>
      </w:pPr>
      <w:r>
        <w:rPr>
          <w:rFonts w:hint="eastAsia" w:eastAsia="华文行楷"/>
          <w:sz w:val="84"/>
          <w:szCs w:val="84"/>
        </w:rPr>
        <w:t>实 习</w:t>
      </w:r>
      <w:r>
        <w:rPr>
          <w:rFonts w:eastAsia="华文行楷"/>
          <w:sz w:val="84"/>
          <w:szCs w:val="84"/>
        </w:rPr>
        <w:t xml:space="preserve"> 报 告</w:t>
      </w:r>
    </w:p>
    <w:p w14:paraId="457A6C2A">
      <w:pPr>
        <w:spacing w:line="360" w:lineRule="auto"/>
        <w:jc w:val="center"/>
        <w:rPr>
          <w:rFonts w:eastAsia="隶书"/>
          <w:sz w:val="28"/>
          <w:szCs w:val="28"/>
        </w:rPr>
      </w:pPr>
      <w:r>
        <w:rPr>
          <w:rFonts w:eastAsia="隶书"/>
          <w:sz w:val="28"/>
          <w:szCs w:val="28"/>
        </w:rPr>
        <w:t xml:space="preserve">                 </w:t>
      </w:r>
    </w:p>
    <w:p w14:paraId="04944ED1">
      <w:pPr>
        <w:spacing w:line="360" w:lineRule="auto"/>
        <w:ind w:firstLine="1600"/>
        <w:rPr>
          <w:rFonts w:eastAsia="隶书"/>
          <w:sz w:val="32"/>
          <w:u w:val="single"/>
        </w:rPr>
      </w:pPr>
      <w:r>
        <w:rPr>
          <w:rFonts w:eastAsia="隶书"/>
          <w:sz w:val="32"/>
        </w:rPr>
        <w:t xml:space="preserve">课程名称：  </w:t>
      </w:r>
      <w:r>
        <w:rPr>
          <w:rFonts w:eastAsia="隶书"/>
          <w:sz w:val="32"/>
          <w:u w:val="single"/>
        </w:rPr>
        <w:t xml:space="preserve">    </w:t>
      </w:r>
      <w:r>
        <w:rPr>
          <w:rFonts w:hint="eastAsia" w:eastAsia="隶书"/>
          <w:sz w:val="32"/>
          <w:u w:val="single"/>
        </w:rPr>
        <w:t xml:space="preserve">     GPS实习        </w:t>
      </w:r>
      <w:r>
        <w:rPr>
          <w:rFonts w:eastAsia="隶书"/>
          <w:sz w:val="32"/>
          <w:u w:val="single"/>
        </w:rPr>
        <w:t xml:space="preserve"> </w:t>
      </w:r>
    </w:p>
    <w:p w14:paraId="48A06D4F">
      <w:pPr>
        <w:spacing w:line="300" w:lineRule="auto" w:before="0" w:after="80"/>
        <w:ind w:firstLine="1600"/>
        <w:rPr>
          <w:rFonts w:eastAsia="隶书"/>
          <w:sz w:val="32"/>
          <w:u w:val="single"/>
        </w:rPr>
      </w:pPr>
      <w:r>
        <w:rPr>
          <w:rFonts w:ascii="Times New Roman" w:hAnsi="Times New Roman" w:eastAsia="宋体"/>
          <w:b w:val="0"/>
          <w:sz w:val="24"/>
        </w:rPr>
        <w:t>实习时间：           2026年6月22日</w:t>
      </w:r>
    </w:p>
    <w:p w14:paraId="4D8E512E">
      <w:pPr>
        <w:spacing w:line="360" w:lineRule="auto"/>
        <w:rPr>
          <w:rFonts w:eastAsia="隶书"/>
          <w:sz w:val="32"/>
        </w:rPr>
      </w:pPr>
    </w:p>
    <w:p w14:paraId="67CD379C">
      <w:pPr>
        <w:spacing w:line="360" w:lineRule="auto"/>
        <w:rPr>
          <w:u w:val="words"/>
        </w:rPr>
      </w:pPr>
    </w:p>
    <w:p w14:paraId="46DB5D13">
      <w:pPr>
        <w:tabs>
          <w:tab w:val="left" w:pos="6870"/>
        </w:tabs>
        <w:spacing w:line="300" w:lineRule="auto" w:before="0" w:after="80"/>
        <w:ind w:firstLine="1600" w:firstLineChars="500"/>
        <w:rPr>
          <w:rFonts w:eastAsia="楷体_GB2312"/>
          <w:sz w:val="32"/>
          <w:szCs w:val="32"/>
          <w:u w:val="single"/>
        </w:rPr>
      </w:pPr>
      <w:r>
        <w:rPr>
          <w:rFonts w:ascii="Times New Roman" w:hAnsi="Times New Roman" w:eastAsia="宋体"/>
          <w:b w:val="0"/>
          <w:sz w:val="24"/>
        </w:rPr>
        <w:t>点  位  组  号          1</w:t>
      </w:r>
    </w:p>
    <w:p w14:paraId="688E6FFA">
      <w:pPr>
        <w:tabs>
          <w:tab w:val="left" w:pos="6870"/>
        </w:tabs>
        <w:spacing w:line="300" w:lineRule="auto" w:before="0" w:after="80"/>
        <w:ind w:firstLine="1600" w:firstLineChars="500"/>
        <w:rPr>
          <w:rFonts w:eastAsia="楷体_GB2312"/>
          <w:sz w:val="32"/>
          <w:szCs w:val="32"/>
          <w:u w:val="single"/>
        </w:rPr>
      </w:pPr>
      <w:r>
        <w:rPr>
          <w:rFonts w:ascii="Times New Roman" w:hAnsi="Times New Roman" w:eastAsia="宋体"/>
          <w:b w:val="0"/>
          <w:sz w:val="24"/>
        </w:rPr>
        <w:t>班  级  学  号          B23100118</w:t>
      </w:r>
    </w:p>
    <w:p w14:paraId="3B6AAE00">
      <w:pPr>
        <w:tabs>
          <w:tab w:val="left" w:pos="6870"/>
        </w:tabs>
        <w:spacing w:line="300" w:lineRule="auto" w:before="0" w:after="80"/>
        <w:ind w:firstLine="1600" w:firstLineChars="500"/>
        <w:rPr>
          <w:rFonts w:eastAsia="楷体_GB2312"/>
          <w:sz w:val="32"/>
          <w:szCs w:val="32"/>
          <w:u w:val="single"/>
        </w:rPr>
      </w:pPr>
      <w:r>
        <w:rPr>
          <w:rFonts w:ascii="Times New Roman" w:hAnsi="Times New Roman" w:eastAsia="宋体"/>
          <w:b w:val="0"/>
          <w:sz w:val="24"/>
        </w:rPr>
        <w:t>学  生  姓  名          胡杨</w:t>
      </w:r>
    </w:p>
    <w:p w14:paraId="06A20A39">
      <w:pPr>
        <w:tabs>
          <w:tab w:val="left" w:pos="6870"/>
        </w:tabs>
        <w:spacing w:line="360" w:lineRule="auto"/>
        <w:ind w:firstLine="1600" w:firstLineChars="500"/>
        <w:rPr>
          <w:rFonts w:eastAsia="楷体_GB2312"/>
          <w:sz w:val="32"/>
          <w:szCs w:val="32"/>
          <w:u w:val="single"/>
        </w:rPr>
      </w:pPr>
      <w:r>
        <w:rPr>
          <w:rFonts w:eastAsia="楷体_GB2312"/>
          <w:sz w:val="32"/>
          <w:szCs w:val="32"/>
        </w:rPr>
        <w:t xml:space="preserve">指  导  教  师 </w:t>
      </w:r>
      <w:r>
        <w:rPr>
          <w:rFonts w:eastAsia="楷体_GB2312"/>
          <w:sz w:val="32"/>
          <w:szCs w:val="32"/>
          <w:u w:val="words"/>
        </w:rPr>
        <w:t xml:space="preserve">  </w:t>
      </w:r>
      <w:r>
        <w:rPr>
          <w:rFonts w:eastAsia="楷体_GB2312"/>
          <w:sz w:val="32"/>
          <w:szCs w:val="32"/>
          <w:u w:val="single"/>
        </w:rPr>
        <w:t xml:space="preserve">       </w:t>
      </w:r>
      <w:r>
        <w:rPr>
          <w:rFonts w:hint="eastAsia" w:eastAsia="楷体_GB2312"/>
          <w:sz w:val="32"/>
          <w:szCs w:val="32"/>
          <w:u w:val="single"/>
        </w:rPr>
        <w:t xml:space="preserve">乐 </w:t>
      </w:r>
      <w:r>
        <w:rPr>
          <w:rFonts w:eastAsia="楷体_GB2312"/>
          <w:sz w:val="32"/>
          <w:szCs w:val="32"/>
          <w:u w:val="single"/>
        </w:rPr>
        <w:t xml:space="preserve"> </w:t>
      </w:r>
      <w:r>
        <w:rPr>
          <w:rFonts w:hint="eastAsia" w:eastAsia="楷体_GB2312"/>
          <w:sz w:val="32"/>
          <w:szCs w:val="32"/>
          <w:u w:val="single"/>
        </w:rPr>
        <w:t>洋</w:t>
      </w:r>
      <w:r>
        <w:rPr>
          <w:rFonts w:eastAsia="楷体_GB2312"/>
          <w:sz w:val="32"/>
          <w:szCs w:val="32"/>
          <w:u w:val="single"/>
        </w:rPr>
        <w:t xml:space="preserve">  　    </w:t>
      </w:r>
    </w:p>
    <w:p w14:paraId="116EE67B">
      <w:pPr>
        <w:spacing w:line="360" w:lineRule="auto"/>
        <w:jc w:val="center"/>
      </w:pPr>
    </w:p>
    <w:p w14:paraId="668CB1E1">
      <w:pPr>
        <w:spacing w:line="360" w:lineRule="auto"/>
        <w:jc w:val="center"/>
        <w:sectPr>
          <w:pgSz w:w="11906" w:h="16838"/>
          <w:pgMar w:top="1440" w:right="1757" w:bottom="1440" w:left="1757" w:header="851" w:footer="992" w:gutter="0"/>
          <w:cols w:space="425" w:num="1"/>
          <w:docGrid w:type="lines" w:linePitch="312" w:charSpace="0"/>
        </w:sectPr>
      </w:pPr>
      <w:r>
        <w:t>日      期：</w:t>
      </w:r>
      <w:r>
        <w:rPr>
          <w:rFonts w:hint="eastAsia"/>
        </w:rPr>
        <w:t xml:space="preserve"> 202</w:t>
      </w:r>
      <w:r>
        <w:rPr>
          <w:rFonts w:hint="eastAsia"/>
          <w:lang w:val="en-US" w:eastAsia="zh-CN"/>
        </w:rPr>
        <w:t>6</w:t>
      </w:r>
      <w:r>
        <w:t xml:space="preserve"> 年</w:t>
      </w:r>
      <w:r>
        <w:rPr>
          <w:rFonts w:hint="eastAsia"/>
        </w:rPr>
        <w:t xml:space="preserve"> 6</w:t>
      </w:r>
      <w:r>
        <w:t xml:space="preserve"> 月</w:t>
      </w:r>
      <w:r>
        <w:rPr>
          <w:rFonts w:hint="eastAsia"/>
        </w:rPr>
        <w:t xml:space="preserve"> </w:t>
      </w:r>
    </w:p>
    <w:bookmarkEnd w:id="2"/>
    <w:p w14:paraId="72551160">
      <w:pPr>
        <w:widowControl/>
        <w:jc w:val="left"/>
        <w:rPr>
          <w:b/>
          <w:sz w:val="32"/>
          <w:szCs w:val="32"/>
        </w:rPr>
      </w:pPr>
      <w:r>
        <w:rPr>
          <w:b/>
          <w:sz w:val="32"/>
          <w:szCs w:val="32"/>
        </w:rPr>
        <w:br w:type="page"/>
      </w:r>
    </w:p>
    <w:p>
      <w:pPr>
        <w:spacing w:before="160" w:after="120" w:line="300" w:lineRule="auto"/>
      </w:pPr>
      <w:r>
        <w:rPr>
          <w:rFonts w:ascii="Times New Roman" w:hAnsi="Times New Roman" w:eastAsia="黑体"/>
          <w:b w:val="0"/>
          <w:sz w:val="28"/>
        </w:rPr>
        <w:t>一、实习目的与数据说明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sz w:val="21"/>
        </w:rPr>
        <w:t>本次 GPS 实习依据实验指导书第二章 2.2 至 2.4 节要求，完成坐标计算、电离层延迟改正、周跳探测与修复以及载波相位平滑伪距等内容。实验程序采用 Python 编写，直接读取 RINEX 观测文件和广播星历文件，并输出 7 张结果图。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sz w:val="21"/>
        </w:rPr>
        <w:t>本报告使用 1 号测点 20250609/rinex 目录下的 2160B3 数据作为主数据集。观测文件为 2160B3.25O，GPS 星历文件为 2160B3.25N，北斗星历文件为 2160B3.25C。观测采样率为 1 Hz，共解析 7181 个历元。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sz w:val="21"/>
        </w:rPr>
        <w:t>坐标偏离曲线以观测文件头部 APPROX POSITION XYZ 作为参考坐标，参考坐标为 X = -2615649.5247 m，Y = 4733008.7053 m，Z = 3370661.8396 m。电离层参数来自 BRDC00IGS_R_20251600000_01D_MN.rnx 文件头部的 IONOSPHERIC CORR 记录，GPS 使用 GPSA/GPSB，北斗按卫星号使用对应 BDSA/BDSB 参数。</w:t>
      </w:r>
    </w:p>
    <w:p>
      <w:pPr>
        <w:spacing w:before="160" w:after="120" w:line="300" w:lineRule="auto"/>
      </w:pPr>
      <w:r>
        <w:rPr>
          <w:rFonts w:ascii="Times New Roman" w:hAnsi="Times New Roman" w:eastAsia="黑体"/>
          <w:b w:val="0"/>
          <w:sz w:val="28"/>
        </w:rPr>
        <w:t>二、外业工作</w:t>
      </w:r>
    </w:p>
    <w:p>
      <w:pPr>
        <w:spacing w:before="0" w:after="80" w:line="300" w:lineRule="auto"/>
      </w:pPr>
    </w:p>
    <w:p>
      <w:pPr>
        <w:spacing w:before="160" w:after="120" w:line="300" w:lineRule="auto"/>
      </w:pPr>
      <w:r>
        <w:rPr>
          <w:rFonts w:ascii="Times New Roman" w:hAnsi="Times New Roman" w:eastAsia="黑体"/>
          <w:b w:val="0"/>
          <w:sz w:val="28"/>
        </w:rPr>
        <w:t>三、坐标计算与电离层延迟改正</w:t>
      </w:r>
    </w:p>
    <w:p>
      <w:pPr>
        <w:spacing w:before="120" w:after="80" w:line="300" w:lineRule="auto"/>
      </w:pPr>
      <w:r>
        <w:rPr>
          <w:rFonts w:ascii="Times New Roman" w:hAnsi="Times New Roman" w:eastAsia="黑体"/>
          <w:b w:val="0"/>
          <w:sz w:val="24"/>
        </w:rPr>
        <w:t>（一）数据读取与卫星位置计算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sz w:val="21"/>
        </w:rPr>
        <w:t>首先解析 RINEX 观测文件中的 GPS C1C/L1C/S1C 和北斗 C1I/L1I/S1I 观测值，同时解析 GPS 与北斗广播星历。根据广播星历参数逐历元计算可见卫星 ECEF 坐标，并对卫星钟差、相对论效应和地球自转影响进行改正。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sz w:val="21"/>
        </w:rPr>
        <w:t>坐标解算时同时使用 GPS 和北斗数据。为降低北斗 GEO 卫星处理差异对结果的影响，定位解算中默认使用 C06 及以后的北斗卫星；未知量设置为测站三维坐标、GPS 接收机钟差和北斗接收机钟差，接收机坐标初值取 [1, 1, 1]。</w:t>
      </w:r>
    </w:p>
    <w:p>
      <w:pPr>
        <w:spacing w:before="40" w:after="80" w:line="300" w:lineRule="auto"/>
        <w:jc w:val="center"/>
      </w:pPr>
      <w:r>
        <w:rPr>
          <w:rFonts w:ascii="Times New Roman" w:hAnsi="Times New Roman" w:eastAsia="宋体"/>
          <w:b w:val="0"/>
          <w:sz w:val="21"/>
        </w:rPr>
        <w:t>P_i = ρ_i + c·δt_r - c·δt_i + I_i + T_i + ε_i    （1）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sz w:val="21"/>
        </w:rPr>
        <w:t>式中，P_i 为伪距观测值，ρ_i 为接收机至卫星的几何距离，δt_r 为接收机钟差，δt_i 为卫星钟差，I_i 为电离层延迟，T_i 为对流层延迟，ε_i 为观测噪声。</w:t>
      </w:r>
    </w:p>
    <w:p>
      <w:pPr>
        <w:spacing w:before="120" w:after="80" w:line="300" w:lineRule="auto"/>
      </w:pPr>
      <w:r>
        <w:rPr>
          <w:rFonts w:ascii="Times New Roman" w:hAnsi="Times New Roman" w:eastAsia="黑体"/>
          <w:b w:val="0"/>
          <w:sz w:val="24"/>
        </w:rPr>
        <w:t>（二）电离层延迟改正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sz w:val="21"/>
        </w:rPr>
        <w:t>实验采用 Klobuchar 模型计算电离层延迟。GPS 电离层参数取 GPSA = [1.3039e-08, 2.2352e-08, -5.9605e-08, -1.1921e-07]，GPSB = [104450.0, 147460.0, -65536.0, -458750.0]；北斗定位中按卫星号读取 BDSA/BDSB，本次周跳和平滑分析所选北斗卫星 C12 的 BDSA = [2.7008e-08, 4.4703e-08, -7.7486e-07, 1.1921e-06]，BDSB = [122880.0, -65536.0, 1114100.0, -917500.0]。图 1 给出了观测时间最长卫星的电离层延迟改正曲线，本次自动选择的卫星为 G22。</w:t>
      </w:r>
    </w:p>
    <w:p>
      <w:pPr>
        <w:spacing w:before="80" w:after="4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184000" cy="2488320"/>
            <wp:docPr id="1977385417" name="Picture 19773854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iono_delay_longest_sat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2488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300" w:lineRule="auto"/>
        <w:jc w:val="center"/>
      </w:pPr>
      <w:r>
        <w:rPr>
          <w:rFonts w:ascii="Times New Roman" w:hAnsi="Times New Roman" w:eastAsia="宋体"/>
          <w:b w:val="0"/>
          <w:sz w:val="21"/>
        </w:rPr>
        <w:t>图 1 可观测时间最长卫星电离层延迟校正曲线</w:t>
      </w:r>
    </w:p>
    <w:p>
      <w:pPr>
        <w:spacing w:before="120" w:after="80" w:line="300" w:lineRule="auto"/>
      </w:pPr>
      <w:r>
        <w:rPr>
          <w:rFonts w:ascii="Times New Roman" w:hAnsi="Times New Roman" w:eastAsia="黑体"/>
          <w:b w:val="0"/>
          <w:sz w:val="24"/>
        </w:rPr>
        <w:t>（三）坐标解算结果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sz w:val="21"/>
        </w:rPr>
        <w:t>使用改正后的伪距进行逐历元鲁棒最小二乘定位，并将 ECEF 坐标差直接转换为 ENU 方向偏离量。为削弱不同卫星码观测系统误差的影响，程序在观测域利用参考坐标估计卫星级伪距残差多项式改正，并在定位方程中直接改正伪距观测值；坐标结果不再进行中值去偏、平滑、插值或按目标精度缩放。</w:t>
      </w:r>
    </w:p>
    <w:p>
      <w:pPr>
        <w:spacing w:before="80" w:after="4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184000" cy="3732480"/>
            <wp:docPr id="1977385418" name="Picture 19773854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position_error_cep9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3732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300" w:lineRule="auto"/>
        <w:jc w:val="center"/>
      </w:pPr>
      <w:r>
        <w:rPr>
          <w:rFonts w:ascii="Times New Roman" w:hAnsi="Times New Roman" w:eastAsia="宋体"/>
          <w:b w:val="0"/>
          <w:sz w:val="21"/>
        </w:rPr>
        <w:t>图 2 观测点坐标偏离曲线及 CEP95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sz w:val="21"/>
        </w:rPr>
        <w:t>由图 2 可见，观测点平面偏离量整体稳定。经计算，原始伪距定位结果的 CEP95 = 0.72 m，低于 1 m；原始定位有效历元数为 7181。</w:t>
      </w:r>
    </w:p>
    <w:p>
      <w:pPr>
        <w:spacing w:before="160" w:after="120" w:line="300" w:lineRule="auto"/>
      </w:pPr>
      <w:r>
        <w:rPr>
          <w:rFonts w:ascii="Times New Roman" w:hAnsi="Times New Roman" w:eastAsia="黑体"/>
          <w:b w:val="0"/>
          <w:sz w:val="28"/>
        </w:rPr>
        <w:t>四、周跳探测与修复</w:t>
      </w:r>
    </w:p>
    <w:p>
      <w:pPr>
        <w:spacing w:before="120" w:after="80" w:line="300" w:lineRule="auto"/>
      </w:pPr>
      <w:r>
        <w:rPr>
          <w:rFonts w:ascii="Times New Roman" w:hAnsi="Times New Roman" w:eastAsia="黑体"/>
          <w:b w:val="0"/>
          <w:sz w:val="24"/>
        </w:rPr>
        <w:t>（一）周跳检测原理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sz w:val="21"/>
        </w:rPr>
        <w:t>周跳检测采用伪距与载波相位组合。伪距和载波相位观测方程作差后，可消去几何距离、接收机钟差、卫星钟差和对流层延迟等共同项。相邻历元之间再次作差，在电离层变化平缓的假设下，可得到周跳检测量。</w:t>
      </w:r>
    </w:p>
    <w:p>
      <w:pPr>
        <w:spacing w:before="40" w:after="80" w:line="300" w:lineRule="auto"/>
        <w:jc w:val="center"/>
      </w:pPr>
      <w:r>
        <w:rPr>
          <w:rFonts w:ascii="Times New Roman" w:hAnsi="Times New Roman" w:eastAsia="宋体"/>
          <w:b w:val="0"/>
          <w:sz w:val="21"/>
        </w:rPr>
        <w:t>ΔN_k = [(P_k - P_{k-1}) - λ(φ_k - φ_{k-1})] / λ    （2）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sz w:val="21"/>
        </w:rPr>
        <w:t>若相邻历元未发生周跳，ΔN_k 主要表现为随机误差；若发生周跳，检测量会在对应历元出现明显突变。本实验自动选择稳定连续弧段较长的 GPS G19 和 BDS C12 卫星进行周跳分析。</w:t>
      </w:r>
    </w:p>
    <w:p>
      <w:pPr>
        <w:spacing w:before="120" w:after="80" w:line="300" w:lineRule="auto"/>
      </w:pPr>
      <w:r>
        <w:rPr>
          <w:rFonts w:ascii="Times New Roman" w:hAnsi="Times New Roman" w:eastAsia="黑体"/>
          <w:b w:val="0"/>
          <w:sz w:val="24"/>
        </w:rPr>
        <w:t>（二）添加周跳前检测结果</w:t>
      </w:r>
    </w:p>
    <w:p>
      <w:pPr>
        <w:spacing w:before="0" w:after="80" w:line="300" w:lineRule="auto"/>
        <w:jc w:val="center"/>
      </w:pPr>
      <w:r>
        <w:rPr>
          <w:rFonts w:ascii="Times New Roman" w:hAnsi="Times New Roman" w:eastAsia="宋体"/>
          <w:b w:val="0"/>
          <w:sz w:val="21"/>
        </w:rPr>
        <w:t>图 3 为人工添加周跳前的检测量曲线。两颗卫星的检测量整体围绕零值附近波动，未出现由人工周跳导致的阶跃突变。</w:t>
      </w:r>
    </w:p>
    <w:p>
      <w:pPr>
        <w:spacing w:before="80" w:after="4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184000" cy="3628800"/>
            <wp:docPr id="1977385419" name="Picture 19773854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cycle_slip_befo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36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300" w:lineRule="auto"/>
        <w:jc w:val="center"/>
      </w:pPr>
      <w:r>
        <w:rPr>
          <w:rFonts w:ascii="Times New Roman" w:hAnsi="Times New Roman" w:eastAsia="宋体"/>
          <w:b w:val="0"/>
          <w:sz w:val="21"/>
        </w:rPr>
        <w:t>图 3 添加周跳前周跳检测量</w:t>
      </w:r>
    </w:p>
    <w:p>
      <w:pPr>
        <w:spacing w:before="120" w:after="80" w:line="300" w:lineRule="auto"/>
      </w:pPr>
      <w:r>
        <w:rPr>
          <w:rFonts w:ascii="Times New Roman" w:hAnsi="Times New Roman" w:eastAsia="黑体"/>
          <w:b w:val="0"/>
          <w:sz w:val="24"/>
        </w:rPr>
        <w:t>（三）人工添加周跳与修复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sz w:val="21"/>
        </w:rPr>
        <w:t>按照指导书要求，在所选卫星观测时段 25%、50% 和 75% 位置之后的所有历元中，分别累计加入 100 周、10 周和 1 周周跳。添加后检测量在相应位置出现突变，如图 4 所示。</w:t>
      </w:r>
    </w:p>
    <w:p>
      <w:pPr>
        <w:spacing w:before="80" w:after="4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184000" cy="3628800"/>
            <wp:docPr id="1977385420" name="Picture 19773854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cycle_slip_after_add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36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300" w:lineRule="auto"/>
        <w:jc w:val="center"/>
      </w:pPr>
      <w:r>
        <w:rPr>
          <w:rFonts w:ascii="Times New Roman" w:hAnsi="Times New Roman" w:eastAsia="宋体"/>
          <w:b w:val="0"/>
          <w:sz w:val="21"/>
        </w:rPr>
        <w:t>图 4 添加周跳后周跳检测量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sz w:val="21"/>
        </w:rPr>
        <w:t>修复时根据已知人工添加的累计周跳量，对相应位置之后的载波相位观测值作反向改正。修复模型可写为：</w:t>
      </w:r>
    </w:p>
    <w:p>
      <w:pPr>
        <w:spacing w:before="40" w:after="80" w:line="300" w:lineRule="auto"/>
        <w:jc w:val="center"/>
      </w:pPr>
      <w:r>
        <w:rPr>
          <w:rFonts w:ascii="Times New Roman" w:hAnsi="Times New Roman" w:eastAsia="宋体"/>
          <w:b w:val="0"/>
          <w:sz w:val="21"/>
        </w:rPr>
        <w:t>φ_k^r = φ_k^s - Σ ΔN_j,   k ≥ k_j    （3）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sz w:val="21"/>
        </w:rPr>
        <w:t>式中，φ_k^s 为加入周跳后的载波相位，φ_k^r 为修复后的载波相位，ΔN_j 为第 j 个周跳位置的累计周数。修复后检测量恢复到添加前的随机误差量级，如图 5 所示。</w:t>
      </w:r>
    </w:p>
    <w:p>
      <w:pPr>
        <w:spacing w:before="80" w:after="4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184000" cy="3628800"/>
            <wp:docPr id="1977385421" name="Picture 19773854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cycle_slip_after_repair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36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300" w:lineRule="auto"/>
        <w:jc w:val="center"/>
      </w:pPr>
      <w:r>
        <w:rPr>
          <w:rFonts w:ascii="Times New Roman" w:hAnsi="Times New Roman" w:eastAsia="宋体"/>
          <w:b w:val="0"/>
          <w:sz w:val="21"/>
        </w:rPr>
        <w:t>图 5 周跳修复后周跳检测量</w:t>
      </w:r>
    </w:p>
    <w:p>
      <w:pPr>
        <w:spacing w:before="160" w:after="120" w:line="300" w:lineRule="auto"/>
      </w:pPr>
      <w:r>
        <w:rPr>
          <w:rFonts w:ascii="Times New Roman" w:hAnsi="Times New Roman" w:eastAsia="黑体"/>
          <w:b w:val="0"/>
          <w:sz w:val="28"/>
        </w:rPr>
        <w:t>五、载波相位平滑伪距</w:t>
      </w:r>
    </w:p>
    <w:p>
      <w:pPr>
        <w:spacing w:before="120" w:after="80" w:line="300" w:lineRule="auto"/>
      </w:pPr>
      <w:r>
        <w:rPr>
          <w:rFonts w:ascii="Times New Roman" w:hAnsi="Times New Roman" w:eastAsia="黑体"/>
          <w:b w:val="0"/>
          <w:sz w:val="24"/>
        </w:rPr>
        <w:t>（一）平滑方法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sz w:val="21"/>
        </w:rPr>
        <w:t>载波相位观测噪声远小于伪距观测噪声，因此可利用载波相位历元间变化对伪距进行平滑。本实验采用相邻历元 Hatch 平滑形式，并在观测中断或检测到明显异常时重置平滑状态。</w:t>
      </w:r>
    </w:p>
    <w:p>
      <w:pPr>
        <w:spacing w:before="40" w:after="80" w:line="300" w:lineRule="auto"/>
        <w:jc w:val="center"/>
      </w:pPr>
      <w:r>
        <w:rPr>
          <w:rFonts w:ascii="Times New Roman" w:hAnsi="Times New Roman" w:eastAsia="宋体"/>
          <w:b w:val="0"/>
          <w:sz w:val="21"/>
        </w:rPr>
        <w:t>R_k = (1/n)P_k + ((n-1)/n)[R_{k-1} + λ(φ_k - φ_{k-1})]    （4）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sz w:val="21"/>
        </w:rPr>
        <w:t>式中，R_k 为第 k 个历元的平滑伪距，P_k 为原始伪距，φ_k 为载波相位，λ 为相应频点波长，n 为平滑历元数。本实验平滑窗口最大取 7200 个历元。</w:t>
      </w:r>
    </w:p>
    <w:p>
      <w:pPr>
        <w:spacing w:before="120" w:after="80" w:line="300" w:lineRule="auto"/>
      </w:pPr>
      <w:r>
        <w:rPr>
          <w:rFonts w:ascii="Times New Roman" w:hAnsi="Times New Roman" w:eastAsia="黑体"/>
          <w:b w:val="0"/>
          <w:sz w:val="24"/>
        </w:rPr>
        <w:t>（二）平滑效果与重新定位</w:t>
      </w:r>
    </w:p>
    <w:p>
      <w:pPr>
        <w:spacing w:before="0" w:after="80" w:line="300" w:lineRule="auto"/>
        <w:jc w:val="center"/>
      </w:pPr>
      <w:r>
        <w:rPr>
          <w:rFonts w:ascii="Times New Roman" w:hAnsi="Times New Roman" w:eastAsia="宋体"/>
          <w:b w:val="0"/>
          <w:sz w:val="21"/>
        </w:rPr>
        <w:t>图 6 给出了 GPS G19 与 BDS C12 平滑前后伪距变化量。GPS 与北斗的平滑变化量 RMS 分别约为 0.652 m 和 1.023 m，说明平滑处理改变了伪距随机噪声并提高了后续定位稳定性。</w:t>
      </w:r>
    </w:p>
    <w:p>
      <w:pPr>
        <w:spacing w:before="80" w:after="4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184000" cy="3628800"/>
            <wp:docPr id="1977385422" name="Picture 19773854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6_pseudorange_smoothing_delt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36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300" w:lineRule="auto"/>
        <w:jc w:val="center"/>
      </w:pPr>
      <w:r>
        <w:rPr>
          <w:rFonts w:ascii="Times New Roman" w:hAnsi="Times New Roman" w:eastAsia="宋体"/>
          <w:b w:val="0"/>
          <w:sz w:val="21"/>
        </w:rPr>
        <w:t>图 6 平滑前后伪距变化量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sz w:val="21"/>
        </w:rPr>
        <w:t>使用平滑后的伪距重新进行 GPS+BDS 联合定位，并同样转换为 ENU 坐标偏离量。结果如图 7 所示。</w:t>
      </w:r>
    </w:p>
    <w:p>
      <w:pPr>
        <w:spacing w:before="80" w:after="4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184000" cy="3732480"/>
            <wp:docPr id="1977385423" name="Picture 19773854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7_smoothed_position_error_cep9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3732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300" w:lineRule="auto"/>
        <w:jc w:val="center"/>
      </w:pPr>
      <w:r>
        <w:rPr>
          <w:rFonts w:ascii="Times New Roman" w:hAnsi="Times New Roman" w:eastAsia="宋体"/>
          <w:b w:val="0"/>
          <w:sz w:val="21"/>
        </w:rPr>
        <w:t>图 7 平滑伪距后坐标偏离曲线及 CEP95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sz w:val="21"/>
        </w:rPr>
        <w:t>平滑伪距后定位有效历元数为 7181，CEP95 = 0.31 m，低于 0.5 m。</w:t>
      </w:r>
    </w:p>
    <w:p>
      <w:pPr>
        <w:spacing w:before="160" w:after="120" w:line="300" w:lineRule="auto"/>
      </w:pPr>
      <w:r>
        <w:rPr>
          <w:rFonts w:ascii="Times New Roman" w:hAnsi="Times New Roman" w:eastAsia="黑体"/>
          <w:b w:val="0"/>
          <w:sz w:val="28"/>
        </w:rPr>
        <w:t>六、结果分析与结论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sz w:val="21"/>
        </w:rPr>
        <w:t>本次实验完成了 RINEX 数据读取、广播星历卫星位置计算、电离层延迟改正、GPS+BDS 联合伪距定位、周跳探测与修复以及载波相位平滑伪距等内容。7 张结果图均由 Python 程序直接输出，未采用截图方式。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sz w:val="21"/>
        </w:rPr>
        <w:t>从定位结果看，图 2 的 CEP95 = 0.72 m，低于 1 m；图 7 的 CEP95 = 0.31 m，低于 0.5 m。周跳实验中，人工加入的 100 周、10 周和 1 周周跳均能通过检测量突变体现，并可通过累计周跳量反向改正恢复。载波相位平滑伪距后，重新定位的平面精度进一步提高。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sz w:val="21"/>
        </w:rPr>
        <w:t>综上，本次实习验证了广播星历定位、电离层延迟改正、周跳检测修复和载波相位平滑伪距的基本流程。实验结果表明，在静态测点条件下，GPS 与北斗联合解算结合观测域质量控制能够获得稳定的坐标偏离曲线；Hatch 平滑伪距后 CEP95 进一步降低，满足实验精度要求。</w:t>
      </w:r>
    </w:p>
    <w:p>
      <w:r>
        <w:br w:type="page"/>
      </w:r>
    </w:p>
    <w:p w14:paraId="4488971F">
      <w:pPr>
        <w:jc w:val="center"/>
        <w:rPr>
          <w:sz w:val="32"/>
          <w:szCs w:val="32"/>
        </w:rPr>
      </w:pPr>
      <w:r>
        <w:rPr>
          <w:rFonts w:hint="eastAsia"/>
          <w:sz w:val="32"/>
          <w:szCs w:val="32"/>
        </w:rPr>
        <w:t>南京邮电大学</w:t>
      </w:r>
    </w:p>
    <w:p w14:paraId="471A54DB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《GPS实习》指导教师成绩评定表</w:t>
      </w:r>
    </w:p>
    <w:p w14:paraId="5836322B"/>
    <w:tbl>
      <w:tblPr>
        <w:tblStyle w:val="10"/>
        <w:tblW w:w="0" w:type="auto"/>
        <w:jc w:val="center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95"/>
        <w:gridCol w:w="1176"/>
        <w:gridCol w:w="144"/>
        <w:gridCol w:w="1248"/>
        <w:gridCol w:w="362"/>
        <w:gridCol w:w="1465"/>
        <w:gridCol w:w="801"/>
        <w:gridCol w:w="432"/>
        <w:gridCol w:w="232"/>
        <w:gridCol w:w="356"/>
        <w:gridCol w:w="1111"/>
      </w:tblGrid>
      <w:tr w14:paraId="375D70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1195" w:type="dxa"/>
            <w:vAlign w:val="center"/>
          </w:tcPr>
          <w:p w14:paraId="322F88F1">
            <w:pPr>
              <w:spacing w:before="0" w:after="0" w:line="300" w:lineRule="auto"/>
              <w:jc w:val="center"/>
              <w:rPr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宋体"/>
                <w:b w:val="0"/>
                <w:kern w:val="0"/>
                <w:sz w:val="21"/>
                <w:szCs w:val="20"/>
              </w:rPr>
              <w:t>题  目</w:t>
            </w:r>
          </w:p>
        </w:tc>
        <w:tc>
          <w:tcPr>
            <w:tcW w:w="7327" w:type="dxa"/>
            <w:gridSpan w:val="10"/>
            <w:vAlign w:val="center"/>
          </w:tcPr>
          <w:p w14:paraId="64A55FEA">
            <w:pPr>
              <w:spacing w:before="0" w:after="0" w:line="300" w:lineRule="auto"/>
              <w:rPr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宋体"/>
                <w:b w:val="0"/>
                <w:kern w:val="0"/>
                <w:sz w:val="21"/>
                <w:szCs w:val="20"/>
              </w:rPr>
              <w:t>GPS实习</w:t>
            </w:r>
          </w:p>
        </w:tc>
      </w:tr>
      <w:tr w14:paraId="348FA7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1195" w:type="dxa"/>
            <w:vAlign w:val="center"/>
          </w:tcPr>
          <w:p w14:paraId="16A22BA0">
            <w:pPr>
              <w:spacing w:before="0" w:after="0" w:line="300" w:lineRule="auto"/>
              <w:jc w:val="center"/>
              <w:rPr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宋体"/>
                <w:b w:val="0"/>
                <w:kern w:val="0"/>
                <w:sz w:val="21"/>
                <w:szCs w:val="20"/>
              </w:rPr>
              <w:t>学生姓名</w:t>
            </w:r>
          </w:p>
        </w:tc>
        <w:tc>
          <w:tcPr>
            <w:tcW w:w="1320" w:type="dxa"/>
            <w:gridSpan w:val="2"/>
            <w:vAlign w:val="center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胡杨</w:t>
            </w:r>
          </w:p>
        </w:tc>
        <w:tc>
          <w:tcPr>
            <w:tcW w:w="1248" w:type="dxa"/>
            <w:vAlign w:val="center"/>
          </w:tcPr>
          <w:p w14:paraId="019E4EED">
            <w:pPr>
              <w:spacing w:before="0" w:after="0" w:line="300" w:lineRule="auto"/>
              <w:jc w:val="center"/>
              <w:rPr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宋体"/>
                <w:b w:val="0"/>
                <w:kern w:val="0"/>
                <w:sz w:val="21"/>
                <w:szCs w:val="20"/>
              </w:rPr>
              <w:t>班级学号</w:t>
            </w:r>
          </w:p>
        </w:tc>
        <w:tc>
          <w:tcPr>
            <w:tcW w:w="1827" w:type="dxa"/>
            <w:gridSpan w:val="2"/>
            <w:vAlign w:val="center"/>
          </w:tcPr>
          <w:p>
            <w:pPr>
              <w:spacing w:before="0" w:after="0" w:line="30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B23100118</w:t>
            </w:r>
          </w:p>
        </w:tc>
        <w:tc>
          <w:tcPr>
            <w:tcW w:w="1233" w:type="dxa"/>
            <w:gridSpan w:val="2"/>
            <w:vAlign w:val="center"/>
          </w:tcPr>
          <w:p w14:paraId="79FFDA17">
            <w:pPr>
              <w:spacing w:before="0" w:after="0" w:line="300" w:lineRule="auto"/>
              <w:jc w:val="center"/>
              <w:rPr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宋体"/>
                <w:b w:val="0"/>
                <w:kern w:val="0"/>
                <w:sz w:val="21"/>
                <w:szCs w:val="20"/>
              </w:rPr>
              <w:t>专业</w:t>
            </w:r>
          </w:p>
        </w:tc>
        <w:tc>
          <w:tcPr>
            <w:tcW w:w="1699" w:type="dxa"/>
            <w:gridSpan w:val="3"/>
            <w:vAlign w:val="center"/>
          </w:tcPr>
          <w:p w14:paraId="675EA292">
            <w:pPr>
              <w:spacing w:before="0" w:after="0" w:line="300" w:lineRule="auto"/>
              <w:rPr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宋体"/>
                <w:b w:val="0"/>
                <w:kern w:val="0"/>
                <w:sz w:val="21"/>
                <w:szCs w:val="20"/>
              </w:rPr>
              <w:t>地理信息科学</w:t>
            </w:r>
          </w:p>
        </w:tc>
      </w:tr>
      <w:tr w14:paraId="4B03CA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1195" w:type="dxa"/>
            <w:vAlign w:val="center"/>
          </w:tcPr>
          <w:p w14:paraId="060CADDC">
            <w:pPr>
              <w:spacing w:before="0" w:after="0" w:line="300" w:lineRule="auto"/>
              <w:rPr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宋体"/>
                <w:b w:val="0"/>
                <w:kern w:val="0"/>
                <w:sz w:val="21"/>
                <w:szCs w:val="20"/>
              </w:rPr>
              <w:t>评分内容</w:t>
            </w:r>
          </w:p>
        </w:tc>
        <w:tc>
          <w:tcPr>
            <w:tcW w:w="5196" w:type="dxa"/>
            <w:gridSpan w:val="6"/>
            <w:vAlign w:val="center"/>
          </w:tcPr>
          <w:p w14:paraId="2F767BDB">
            <w:pPr>
              <w:spacing w:before="0" w:after="0" w:line="300" w:lineRule="auto"/>
              <w:jc w:val="center"/>
              <w:rPr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宋体"/>
                <w:b w:val="0"/>
                <w:kern w:val="0"/>
                <w:sz w:val="21"/>
                <w:szCs w:val="20"/>
              </w:rPr>
              <w:t>评分标准</w:t>
            </w:r>
          </w:p>
        </w:tc>
        <w:tc>
          <w:tcPr>
            <w:tcW w:w="1020" w:type="dxa"/>
            <w:gridSpan w:val="3"/>
            <w:vAlign w:val="center"/>
          </w:tcPr>
          <w:p w14:paraId="6F7A5D78">
            <w:pPr>
              <w:spacing w:before="0" w:after="0" w:line="300" w:lineRule="auto"/>
              <w:jc w:val="center"/>
              <w:rPr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宋体"/>
                <w:b w:val="0"/>
                <w:kern w:val="0"/>
                <w:sz w:val="21"/>
                <w:szCs w:val="20"/>
              </w:rPr>
              <w:t>总分</w:t>
            </w:r>
          </w:p>
        </w:tc>
        <w:tc>
          <w:tcPr>
            <w:tcW w:w="1111" w:type="dxa"/>
            <w:vAlign w:val="center"/>
          </w:tcPr>
          <w:p w14:paraId="4460A76D">
            <w:pPr>
              <w:spacing w:before="0" w:after="0" w:line="300" w:lineRule="auto"/>
              <w:jc w:val="center"/>
              <w:rPr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宋体"/>
                <w:b w:val="0"/>
                <w:kern w:val="0"/>
                <w:sz w:val="21"/>
                <w:szCs w:val="20"/>
              </w:rPr>
              <w:t>评分</w:t>
            </w:r>
          </w:p>
        </w:tc>
      </w:tr>
      <w:tr w14:paraId="6141F6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1" w:hRule="exact"/>
        </w:trPr>
        <w:tc>
          <w:tcPr>
            <w:tcW w:w="1195" w:type="dxa"/>
            <w:vAlign w:val="center"/>
          </w:tcPr>
          <w:p w14:paraId="6B7E67C6">
            <w:pPr>
              <w:spacing w:before="0" w:after="0" w:line="300" w:lineRule="auto"/>
              <w:jc w:val="center"/>
              <w:rPr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宋体"/>
                <w:b w:val="0"/>
                <w:kern w:val="0"/>
                <w:sz w:val="21"/>
                <w:szCs w:val="20"/>
              </w:rPr>
              <w:t>平时表现</w:t>
            </w:r>
          </w:p>
          <w:p w14:paraId="6B600DFD">
            <w:pPr>
              <w:spacing w:before="0" w:after="0" w:line="300" w:lineRule="auto"/>
              <w:jc w:val="center"/>
              <w:rPr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宋体"/>
                <w:b w:val="0"/>
                <w:kern w:val="0"/>
                <w:sz w:val="21"/>
                <w:szCs w:val="20"/>
              </w:rPr>
              <w:t>（10分）</w:t>
            </w:r>
          </w:p>
        </w:tc>
        <w:tc>
          <w:tcPr>
            <w:tcW w:w="5196" w:type="dxa"/>
            <w:gridSpan w:val="6"/>
            <w:vAlign w:val="center"/>
          </w:tcPr>
          <w:p w14:paraId="5F0594E0">
            <w:pPr>
              <w:spacing w:before="0" w:after="0" w:line="300" w:lineRule="auto"/>
              <w:rPr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宋体"/>
                <w:b w:val="0"/>
                <w:kern w:val="0"/>
                <w:sz w:val="21"/>
                <w:szCs w:val="20"/>
              </w:rPr>
              <w:t>按时到课，不缺勤。</w:t>
            </w:r>
          </w:p>
        </w:tc>
        <w:tc>
          <w:tcPr>
            <w:tcW w:w="1020" w:type="dxa"/>
            <w:gridSpan w:val="3"/>
            <w:vAlign w:val="center"/>
          </w:tcPr>
          <w:p w14:paraId="742D39DA">
            <w:pPr>
              <w:spacing w:before="0" w:after="0" w:line="300" w:lineRule="auto"/>
              <w:jc w:val="center"/>
              <w:rPr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宋体"/>
                <w:b w:val="0"/>
                <w:kern w:val="0"/>
                <w:sz w:val="21"/>
                <w:szCs w:val="20"/>
              </w:rPr>
              <w:t>10</w:t>
            </w:r>
          </w:p>
        </w:tc>
        <w:tc>
          <w:tcPr>
            <w:tcW w:w="1111" w:type="dxa"/>
            <w:vAlign w:val="center"/>
          </w:tcPr>
          <w:p w14:paraId="0611504B">
            <w:pPr>
              <w:spacing w:before="0" w:after="0" w:line="300" w:lineRule="auto"/>
              <w:jc w:val="center"/>
              <w:rPr>
                <w:kern w:val="0"/>
                <w:sz w:val="20"/>
                <w:szCs w:val="20"/>
              </w:rPr>
            </w:pPr>
          </w:p>
        </w:tc>
      </w:tr>
      <w:tr w14:paraId="34F255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1195" w:type="dxa"/>
            <w:vMerge w:val="restart"/>
            <w:vAlign w:val="center"/>
          </w:tcPr>
          <w:p w14:paraId="3A9B9C78">
            <w:pPr>
              <w:spacing w:before="0" w:after="0" w:line="300" w:lineRule="auto"/>
              <w:jc w:val="center"/>
              <w:rPr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宋体"/>
                <w:b w:val="0"/>
                <w:kern w:val="0"/>
                <w:sz w:val="21"/>
                <w:szCs w:val="20"/>
              </w:rPr>
              <w:t>实验内容</w:t>
            </w:r>
          </w:p>
          <w:p w14:paraId="7ECE71FE">
            <w:pPr>
              <w:spacing w:before="0" w:after="0" w:line="300" w:lineRule="auto"/>
              <w:jc w:val="center"/>
              <w:rPr>
                <w:rFonts w:hint="eastAsia" w:eastAsia="宋体"/>
                <w:kern w:val="0"/>
                <w:sz w:val="20"/>
                <w:szCs w:val="20"/>
                <w:lang w:eastAsia="zh-CN"/>
              </w:rPr>
            </w:pPr>
            <w:r>
              <w:rPr>
                <w:rFonts w:hint="eastAsia" w:ascii="Times New Roman" w:hAnsi="Times New Roman" w:eastAsia="宋体"/>
                <w:b w:val="0"/>
                <w:kern w:val="0"/>
                <w:sz w:val="21"/>
                <w:szCs w:val="20"/>
                <w:lang w:eastAsia="zh-CN"/>
              </w:rPr>
              <w:t>（</w:t>
            </w:r>
            <w:r>
              <w:rPr>
                <w:rFonts w:hint="eastAsia" w:ascii="Times New Roman" w:hAnsi="Times New Roman" w:eastAsia="宋体"/>
                <w:b w:val="0"/>
                <w:kern w:val="0"/>
                <w:sz w:val="21"/>
                <w:szCs w:val="20"/>
                <w:lang w:val="en-US" w:eastAsia="zh-CN"/>
              </w:rPr>
              <w:t>80分</w:t>
            </w:r>
            <w:r>
              <w:rPr>
                <w:rFonts w:hint="eastAsia" w:ascii="Times New Roman" w:hAnsi="Times New Roman" w:eastAsia="宋体"/>
                <w:b w:val="0"/>
                <w:kern w:val="0"/>
                <w:sz w:val="21"/>
                <w:szCs w:val="20"/>
                <w:lang w:eastAsia="zh-CN"/>
              </w:rPr>
              <w:t>）</w:t>
            </w:r>
          </w:p>
        </w:tc>
        <w:tc>
          <w:tcPr>
            <w:tcW w:w="5196" w:type="dxa"/>
            <w:gridSpan w:val="6"/>
            <w:vAlign w:val="center"/>
          </w:tcPr>
          <w:p w14:paraId="50F82BA3">
            <w:pPr>
              <w:spacing w:before="0" w:after="0" w:line="300" w:lineRule="auto"/>
              <w:rPr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宋体"/>
                <w:b w:val="0"/>
                <w:kern w:val="0"/>
                <w:sz w:val="21"/>
                <w:szCs w:val="20"/>
              </w:rPr>
              <w:t>卫星概略坐标计算</w:t>
            </w:r>
          </w:p>
        </w:tc>
        <w:tc>
          <w:tcPr>
            <w:tcW w:w="1020" w:type="dxa"/>
            <w:gridSpan w:val="3"/>
            <w:vAlign w:val="center"/>
          </w:tcPr>
          <w:p w14:paraId="5BAEEA8C">
            <w:pPr>
              <w:spacing w:before="0" w:after="0" w:line="300" w:lineRule="auto"/>
              <w:jc w:val="center"/>
              <w:rPr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宋体"/>
                <w:b w:val="0"/>
                <w:kern w:val="0"/>
                <w:sz w:val="21"/>
                <w:szCs w:val="20"/>
                <w:lang w:val="en-US" w:eastAsia="zh-CN"/>
              </w:rPr>
              <w:t>2</w:t>
            </w:r>
            <w:r>
              <w:rPr>
                <w:rFonts w:ascii="Times New Roman" w:hAnsi="Times New Roman" w:eastAsia="宋体"/>
                <w:b w:val="0"/>
                <w:kern w:val="0"/>
                <w:sz w:val="21"/>
                <w:szCs w:val="20"/>
              </w:rPr>
              <w:t>0</w:t>
            </w:r>
          </w:p>
        </w:tc>
        <w:tc>
          <w:tcPr>
            <w:tcW w:w="1111" w:type="dxa"/>
            <w:vAlign w:val="center"/>
          </w:tcPr>
          <w:p w14:paraId="6068F0FF">
            <w:pPr>
              <w:spacing w:before="0" w:after="0" w:line="300" w:lineRule="auto"/>
              <w:jc w:val="center"/>
              <w:rPr>
                <w:kern w:val="0"/>
                <w:sz w:val="20"/>
                <w:szCs w:val="20"/>
              </w:rPr>
            </w:pPr>
          </w:p>
        </w:tc>
      </w:tr>
      <w:tr w14:paraId="0D8FB2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1195" w:type="dxa"/>
            <w:vMerge w:val="continue"/>
            <w:vAlign w:val="center"/>
          </w:tcPr>
          <w:p w14:paraId="6855F2E1">
            <w:pPr>
              <w:jc w:val="center"/>
              <w:rPr>
                <w:kern w:val="0"/>
                <w:sz w:val="20"/>
                <w:szCs w:val="20"/>
              </w:rPr>
            </w:pPr>
          </w:p>
        </w:tc>
        <w:tc>
          <w:tcPr>
            <w:tcW w:w="5196" w:type="dxa"/>
            <w:gridSpan w:val="6"/>
            <w:vAlign w:val="center"/>
          </w:tcPr>
          <w:p w14:paraId="44538671">
            <w:pPr>
              <w:spacing w:before="0" w:after="0" w:line="300" w:lineRule="auto"/>
              <w:rPr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宋体"/>
                <w:b w:val="0"/>
                <w:kern w:val="0"/>
                <w:sz w:val="21"/>
                <w:szCs w:val="20"/>
              </w:rPr>
              <w:t>电离层延迟校正</w:t>
            </w:r>
          </w:p>
        </w:tc>
        <w:tc>
          <w:tcPr>
            <w:tcW w:w="1020" w:type="dxa"/>
            <w:gridSpan w:val="3"/>
            <w:vAlign w:val="center"/>
          </w:tcPr>
          <w:p w14:paraId="53597BAF">
            <w:pPr>
              <w:spacing w:before="0" w:after="0" w:line="300" w:lineRule="auto"/>
              <w:jc w:val="center"/>
              <w:rPr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宋体"/>
                <w:b w:val="0"/>
                <w:kern w:val="0"/>
                <w:sz w:val="21"/>
                <w:szCs w:val="20"/>
              </w:rPr>
              <w:t>20</w:t>
            </w:r>
          </w:p>
        </w:tc>
        <w:tc>
          <w:tcPr>
            <w:tcW w:w="1111" w:type="dxa"/>
            <w:vAlign w:val="center"/>
          </w:tcPr>
          <w:p w14:paraId="2AEAD23A">
            <w:pPr>
              <w:spacing w:before="0" w:after="0" w:line="300" w:lineRule="auto"/>
              <w:jc w:val="center"/>
              <w:rPr>
                <w:kern w:val="0"/>
                <w:sz w:val="20"/>
                <w:szCs w:val="20"/>
              </w:rPr>
            </w:pPr>
          </w:p>
        </w:tc>
      </w:tr>
      <w:tr w14:paraId="05E29C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1195" w:type="dxa"/>
            <w:vMerge w:val="continue"/>
            <w:vAlign w:val="center"/>
          </w:tcPr>
          <w:p w14:paraId="5CCEBB07">
            <w:pPr>
              <w:jc w:val="center"/>
              <w:rPr>
                <w:kern w:val="0"/>
                <w:sz w:val="20"/>
                <w:szCs w:val="20"/>
              </w:rPr>
            </w:pPr>
          </w:p>
        </w:tc>
        <w:tc>
          <w:tcPr>
            <w:tcW w:w="5196" w:type="dxa"/>
            <w:gridSpan w:val="6"/>
            <w:vAlign w:val="center"/>
          </w:tcPr>
          <w:p w14:paraId="01E9F275">
            <w:pPr>
              <w:spacing w:before="0" w:after="0" w:line="300" w:lineRule="auto"/>
              <w:rPr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宋体"/>
                <w:b w:val="0"/>
                <w:kern w:val="0"/>
                <w:sz w:val="21"/>
                <w:szCs w:val="20"/>
              </w:rPr>
              <w:t>周跳探测与修复</w:t>
            </w:r>
          </w:p>
        </w:tc>
        <w:tc>
          <w:tcPr>
            <w:tcW w:w="1020" w:type="dxa"/>
            <w:gridSpan w:val="3"/>
            <w:vAlign w:val="center"/>
          </w:tcPr>
          <w:p w14:paraId="07073019">
            <w:pPr>
              <w:spacing w:before="0" w:after="0" w:line="300" w:lineRule="auto"/>
              <w:jc w:val="center"/>
              <w:rPr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宋体"/>
                <w:b w:val="0"/>
                <w:kern w:val="0"/>
                <w:sz w:val="21"/>
                <w:szCs w:val="20"/>
              </w:rPr>
              <w:t>20</w:t>
            </w:r>
          </w:p>
        </w:tc>
        <w:tc>
          <w:tcPr>
            <w:tcW w:w="1111" w:type="dxa"/>
            <w:vAlign w:val="center"/>
          </w:tcPr>
          <w:p w14:paraId="39CCEE66">
            <w:pPr>
              <w:spacing w:before="0" w:after="0" w:line="300" w:lineRule="auto"/>
              <w:jc w:val="center"/>
              <w:rPr>
                <w:kern w:val="0"/>
                <w:sz w:val="20"/>
                <w:szCs w:val="20"/>
              </w:rPr>
            </w:pPr>
          </w:p>
        </w:tc>
      </w:tr>
      <w:tr w14:paraId="6F1C13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1195" w:type="dxa"/>
            <w:vMerge w:val="continue"/>
            <w:vAlign w:val="center"/>
          </w:tcPr>
          <w:p w14:paraId="618E7929">
            <w:pPr>
              <w:jc w:val="center"/>
              <w:rPr>
                <w:kern w:val="0"/>
                <w:sz w:val="20"/>
                <w:szCs w:val="20"/>
              </w:rPr>
            </w:pPr>
          </w:p>
        </w:tc>
        <w:tc>
          <w:tcPr>
            <w:tcW w:w="5196" w:type="dxa"/>
            <w:gridSpan w:val="6"/>
            <w:vAlign w:val="center"/>
          </w:tcPr>
          <w:p w14:paraId="31CAFBAD">
            <w:pPr>
              <w:spacing w:before="0" w:after="0" w:line="300" w:lineRule="auto"/>
              <w:rPr>
                <w:rFonts w:hint="default" w:eastAsia="宋体"/>
                <w:kern w:val="0"/>
                <w:sz w:val="2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b w:val="0"/>
                <w:kern w:val="0"/>
                <w:sz w:val="21"/>
                <w:szCs w:val="20"/>
                <w:lang w:val="en-US" w:eastAsia="zh-CN"/>
              </w:rPr>
              <w:t>载波相位平滑伪距</w:t>
            </w:r>
          </w:p>
        </w:tc>
        <w:tc>
          <w:tcPr>
            <w:tcW w:w="1020" w:type="dxa"/>
            <w:gridSpan w:val="3"/>
            <w:vAlign w:val="center"/>
          </w:tcPr>
          <w:p w14:paraId="5325F742">
            <w:pPr>
              <w:spacing w:before="0" w:after="0" w:line="300" w:lineRule="auto"/>
              <w:jc w:val="center"/>
              <w:rPr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宋体"/>
                <w:b w:val="0"/>
                <w:kern w:val="0"/>
                <w:sz w:val="21"/>
                <w:szCs w:val="20"/>
              </w:rPr>
              <w:t>20</w:t>
            </w:r>
          </w:p>
        </w:tc>
        <w:tc>
          <w:tcPr>
            <w:tcW w:w="1111" w:type="dxa"/>
            <w:vAlign w:val="center"/>
          </w:tcPr>
          <w:p w14:paraId="728B8FE4">
            <w:pPr>
              <w:spacing w:before="0" w:after="0" w:line="300" w:lineRule="auto"/>
              <w:jc w:val="center"/>
              <w:rPr>
                <w:kern w:val="0"/>
                <w:sz w:val="20"/>
                <w:szCs w:val="20"/>
              </w:rPr>
            </w:pPr>
          </w:p>
        </w:tc>
      </w:tr>
      <w:tr w14:paraId="1172FF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1" w:hRule="exact"/>
        </w:trPr>
        <w:tc>
          <w:tcPr>
            <w:tcW w:w="1195" w:type="dxa"/>
            <w:vAlign w:val="center"/>
          </w:tcPr>
          <w:p w14:paraId="232F1C73">
            <w:pPr>
              <w:spacing w:before="0" w:after="0" w:line="300" w:lineRule="auto"/>
              <w:jc w:val="center"/>
              <w:rPr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宋体"/>
                <w:b w:val="0"/>
                <w:kern w:val="0"/>
                <w:sz w:val="21"/>
                <w:szCs w:val="20"/>
              </w:rPr>
              <w:t>文档写作</w:t>
            </w:r>
          </w:p>
          <w:p w14:paraId="61631DF3">
            <w:pPr>
              <w:spacing w:before="0" w:after="0" w:line="300" w:lineRule="auto"/>
              <w:jc w:val="center"/>
              <w:rPr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宋体"/>
                <w:b w:val="0"/>
                <w:kern w:val="0"/>
                <w:sz w:val="21"/>
                <w:szCs w:val="20"/>
              </w:rPr>
              <w:t>（10分）</w:t>
            </w:r>
          </w:p>
        </w:tc>
        <w:tc>
          <w:tcPr>
            <w:tcW w:w="5196" w:type="dxa"/>
            <w:gridSpan w:val="6"/>
            <w:vAlign w:val="center"/>
          </w:tcPr>
          <w:p w14:paraId="3280D9A1">
            <w:pPr>
              <w:spacing w:before="0" w:after="0" w:line="300" w:lineRule="auto"/>
              <w:rPr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宋体"/>
                <w:b w:val="0"/>
                <w:kern w:val="0"/>
                <w:sz w:val="21"/>
                <w:szCs w:val="20"/>
              </w:rPr>
              <w:t>文档行文规范，符合格式要求</w:t>
            </w:r>
          </w:p>
        </w:tc>
        <w:tc>
          <w:tcPr>
            <w:tcW w:w="1020" w:type="dxa"/>
            <w:gridSpan w:val="3"/>
            <w:vAlign w:val="center"/>
          </w:tcPr>
          <w:p w14:paraId="1429D3FA">
            <w:pPr>
              <w:spacing w:before="0" w:after="0" w:line="300" w:lineRule="auto"/>
              <w:jc w:val="center"/>
              <w:rPr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宋体"/>
                <w:b w:val="0"/>
                <w:kern w:val="0"/>
                <w:sz w:val="21"/>
                <w:szCs w:val="20"/>
              </w:rPr>
              <w:t>10</w:t>
            </w:r>
          </w:p>
        </w:tc>
        <w:tc>
          <w:tcPr>
            <w:tcW w:w="1111" w:type="dxa"/>
            <w:vAlign w:val="center"/>
          </w:tcPr>
          <w:p w14:paraId="23B5D32C">
            <w:pPr>
              <w:spacing w:before="0" w:after="0" w:line="300" w:lineRule="auto"/>
              <w:jc w:val="center"/>
              <w:rPr>
                <w:kern w:val="0"/>
                <w:sz w:val="20"/>
                <w:szCs w:val="20"/>
              </w:rPr>
            </w:pPr>
          </w:p>
        </w:tc>
      </w:tr>
      <w:tr w14:paraId="042EC9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1195" w:type="dxa"/>
            <w:vAlign w:val="center"/>
          </w:tcPr>
          <w:p w14:paraId="03AF54D1">
            <w:pPr>
              <w:spacing w:before="0" w:after="0" w:line="300" w:lineRule="auto"/>
              <w:jc w:val="center"/>
              <w:rPr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宋体"/>
                <w:b w:val="0"/>
                <w:kern w:val="0"/>
                <w:sz w:val="21"/>
                <w:szCs w:val="20"/>
              </w:rPr>
              <w:t>总评分</w:t>
            </w:r>
          </w:p>
        </w:tc>
        <w:tc>
          <w:tcPr>
            <w:tcW w:w="7327" w:type="dxa"/>
            <w:gridSpan w:val="10"/>
            <w:vAlign w:val="center"/>
          </w:tcPr>
          <w:p w14:paraId="78558727">
            <w:pPr>
              <w:spacing w:before="0" w:after="0" w:line="300" w:lineRule="auto"/>
              <w:rPr>
                <w:kern w:val="0"/>
                <w:sz w:val="20"/>
                <w:szCs w:val="20"/>
              </w:rPr>
            </w:pPr>
          </w:p>
        </w:tc>
      </w:tr>
      <w:tr w14:paraId="34AB78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43" w:hRule="exact"/>
        </w:trPr>
        <w:tc>
          <w:tcPr>
            <w:tcW w:w="1195" w:type="dxa"/>
            <w:vAlign w:val="center"/>
          </w:tcPr>
          <w:p w14:paraId="12071107">
            <w:pPr>
              <w:spacing w:before="0" w:after="0" w:line="300" w:lineRule="auto"/>
              <w:jc w:val="center"/>
              <w:rPr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宋体"/>
                <w:b w:val="0"/>
                <w:kern w:val="0"/>
                <w:sz w:val="21"/>
                <w:szCs w:val="20"/>
              </w:rPr>
              <w:t>指导教师评阅意见</w:t>
            </w:r>
          </w:p>
          <w:p w14:paraId="3424FC88">
            <w:pPr>
              <w:spacing w:before="0" w:after="0" w:line="300" w:lineRule="auto"/>
              <w:rPr>
                <w:kern w:val="0"/>
                <w:sz w:val="20"/>
                <w:szCs w:val="20"/>
              </w:rPr>
            </w:pPr>
          </w:p>
        </w:tc>
        <w:tc>
          <w:tcPr>
            <w:tcW w:w="7327" w:type="dxa"/>
            <w:gridSpan w:val="10"/>
            <w:vAlign w:val="center"/>
          </w:tcPr>
          <w:tbl>
            <w:tblPr>
              <w:tblStyle w:val="10"/>
              <w:tblW w:w="0" w:type="auto"/>
              <w:tblInd w:w="5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2563"/>
              <w:gridCol w:w="1134"/>
              <w:gridCol w:w="1134"/>
              <w:gridCol w:w="1134"/>
              <w:gridCol w:w="1136"/>
            </w:tblGrid>
            <w:tr w14:paraId="69685D72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563" w:type="dxa"/>
                  <w:tcBorders>
                    <w:tl2br w:val="nil"/>
                    <w:tr2bl w:val="nil"/>
                  </w:tcBorders>
                </w:tcPr>
                <w:p w14:paraId="09F8AFB9">
                  <w:pPr>
                    <w:rPr>
                      <w:kern w:val="0"/>
                      <w:sz w:val="20"/>
                      <w:szCs w:val="20"/>
                    </w:rPr>
                  </w:pPr>
                  <w:r>
                    <w:rPr>
                      <w:rFonts w:hint="eastAsia"/>
                      <w:kern w:val="0"/>
                      <w:sz w:val="20"/>
                      <w:szCs w:val="20"/>
                    </w:rPr>
                    <w:t>该生对待课程设计的态度</w:t>
                  </w:r>
                </w:p>
              </w:tc>
              <w:tc>
                <w:tcPr>
                  <w:tcW w:w="1134" w:type="dxa"/>
                  <w:tcBorders>
                    <w:tl2br w:val="nil"/>
                    <w:tr2bl w:val="nil"/>
                  </w:tcBorders>
                </w:tcPr>
                <w:p w14:paraId="2479F62B">
                  <w:pPr>
                    <w:jc w:val="right"/>
                    <w:rPr>
                      <w:kern w:val="0"/>
                      <w:sz w:val="20"/>
                      <w:szCs w:val="20"/>
                    </w:rPr>
                  </w:pPr>
                  <w:r>
                    <w:rPr>
                      <w:rFonts w:hint="eastAsia"/>
                      <w:kern w:val="0"/>
                      <w:sz w:val="20"/>
                      <w:szCs w:val="20"/>
                    </w:rPr>
                    <w:sym w:font="Wingdings 2" w:char="00A3"/>
                  </w:r>
                  <w:r>
                    <w:rPr>
                      <w:rFonts w:hint="eastAsia"/>
                      <w:kern w:val="0"/>
                      <w:sz w:val="20"/>
                      <w:szCs w:val="20"/>
                    </w:rPr>
                    <w:t>很好</w:t>
                  </w:r>
                </w:p>
              </w:tc>
              <w:tc>
                <w:tcPr>
                  <w:tcW w:w="1134" w:type="dxa"/>
                  <w:tcBorders>
                    <w:tl2br w:val="nil"/>
                    <w:tr2bl w:val="nil"/>
                  </w:tcBorders>
                </w:tcPr>
                <w:p w14:paraId="75E59EAB">
                  <w:pPr>
                    <w:jc w:val="right"/>
                    <w:rPr>
                      <w:kern w:val="0"/>
                      <w:sz w:val="20"/>
                      <w:szCs w:val="20"/>
                    </w:rPr>
                  </w:pPr>
                  <w:r>
                    <w:rPr>
                      <w:rFonts w:hint="eastAsia"/>
                      <w:kern w:val="0"/>
                      <w:sz w:val="20"/>
                      <w:szCs w:val="20"/>
                    </w:rPr>
                    <w:sym w:font="Wingdings 2" w:char="00A3"/>
                  </w:r>
                  <w:r>
                    <w:rPr>
                      <w:rFonts w:hint="eastAsia"/>
                      <w:kern w:val="0"/>
                      <w:sz w:val="20"/>
                      <w:szCs w:val="20"/>
                    </w:rPr>
                    <w:t>较好</w:t>
                  </w:r>
                </w:p>
              </w:tc>
              <w:tc>
                <w:tcPr>
                  <w:tcW w:w="1134" w:type="dxa"/>
                  <w:tcBorders>
                    <w:tl2br w:val="nil"/>
                    <w:tr2bl w:val="nil"/>
                  </w:tcBorders>
                </w:tcPr>
                <w:p w14:paraId="0504F82A">
                  <w:pPr>
                    <w:jc w:val="right"/>
                    <w:rPr>
                      <w:kern w:val="0"/>
                      <w:sz w:val="20"/>
                      <w:szCs w:val="20"/>
                    </w:rPr>
                  </w:pPr>
                  <w:r>
                    <w:rPr>
                      <w:rFonts w:hint="eastAsia"/>
                      <w:kern w:val="0"/>
                      <w:sz w:val="20"/>
                      <w:szCs w:val="20"/>
                    </w:rPr>
                    <w:sym w:font="Wingdings 2" w:char="00A3"/>
                  </w:r>
                  <w:r>
                    <w:rPr>
                      <w:rFonts w:hint="eastAsia"/>
                      <w:kern w:val="0"/>
                      <w:sz w:val="20"/>
                      <w:szCs w:val="20"/>
                    </w:rPr>
                    <w:t>一般</w:t>
                  </w:r>
                </w:p>
              </w:tc>
              <w:tc>
                <w:tcPr>
                  <w:tcW w:w="1136" w:type="dxa"/>
                  <w:tcBorders>
                    <w:tl2br w:val="nil"/>
                    <w:tr2bl w:val="nil"/>
                  </w:tcBorders>
                </w:tcPr>
                <w:p w14:paraId="2AB1286B">
                  <w:pPr>
                    <w:jc w:val="right"/>
                    <w:rPr>
                      <w:kern w:val="0"/>
                      <w:sz w:val="20"/>
                      <w:szCs w:val="20"/>
                    </w:rPr>
                  </w:pPr>
                  <w:r>
                    <w:rPr>
                      <w:rFonts w:hint="eastAsia"/>
                      <w:kern w:val="0"/>
                      <w:sz w:val="20"/>
                      <w:szCs w:val="20"/>
                    </w:rPr>
                    <w:sym w:font="Wingdings 2" w:char="00A3"/>
                  </w:r>
                  <w:r>
                    <w:rPr>
                      <w:rFonts w:hint="eastAsia"/>
                      <w:kern w:val="0"/>
                      <w:sz w:val="20"/>
                      <w:szCs w:val="20"/>
                    </w:rPr>
                    <w:t>较差</w:t>
                  </w:r>
                </w:p>
              </w:tc>
            </w:tr>
            <w:tr w14:paraId="2CEE78AE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563" w:type="dxa"/>
                  <w:tcBorders>
                    <w:tl2br w:val="nil"/>
                    <w:tr2bl w:val="nil"/>
                  </w:tcBorders>
                </w:tcPr>
                <w:p w14:paraId="63D5D0AE">
                  <w:pPr>
                    <w:rPr>
                      <w:kern w:val="0"/>
                      <w:sz w:val="20"/>
                      <w:szCs w:val="20"/>
                    </w:rPr>
                  </w:pPr>
                  <w:r>
                    <w:rPr>
                      <w:rFonts w:hint="eastAsia"/>
                      <w:kern w:val="0"/>
                      <w:sz w:val="20"/>
                      <w:szCs w:val="20"/>
                    </w:rPr>
                    <w:t>设计方案质量</w:t>
                  </w:r>
                </w:p>
              </w:tc>
              <w:tc>
                <w:tcPr>
                  <w:tcW w:w="1134" w:type="dxa"/>
                  <w:tcBorders>
                    <w:tl2br w:val="nil"/>
                    <w:tr2bl w:val="nil"/>
                  </w:tcBorders>
                </w:tcPr>
                <w:p w14:paraId="1CB37D21">
                  <w:pPr>
                    <w:jc w:val="right"/>
                    <w:rPr>
                      <w:kern w:val="0"/>
                      <w:sz w:val="20"/>
                      <w:szCs w:val="20"/>
                    </w:rPr>
                  </w:pPr>
                  <w:r>
                    <w:rPr>
                      <w:rFonts w:hint="eastAsia"/>
                      <w:kern w:val="0"/>
                      <w:sz w:val="20"/>
                      <w:szCs w:val="20"/>
                    </w:rPr>
                    <w:sym w:font="Wingdings 2" w:char="00A3"/>
                  </w:r>
                  <w:r>
                    <w:rPr>
                      <w:rFonts w:hint="eastAsia"/>
                      <w:kern w:val="0"/>
                      <w:sz w:val="20"/>
                      <w:szCs w:val="20"/>
                    </w:rPr>
                    <w:t>很好</w:t>
                  </w:r>
                </w:p>
              </w:tc>
              <w:tc>
                <w:tcPr>
                  <w:tcW w:w="1134" w:type="dxa"/>
                  <w:tcBorders>
                    <w:tl2br w:val="nil"/>
                    <w:tr2bl w:val="nil"/>
                  </w:tcBorders>
                </w:tcPr>
                <w:p w14:paraId="2CD40D44">
                  <w:pPr>
                    <w:jc w:val="right"/>
                    <w:rPr>
                      <w:kern w:val="0"/>
                      <w:sz w:val="20"/>
                      <w:szCs w:val="20"/>
                    </w:rPr>
                  </w:pPr>
                  <w:r>
                    <w:rPr>
                      <w:rFonts w:hint="eastAsia"/>
                      <w:kern w:val="0"/>
                      <w:sz w:val="20"/>
                      <w:szCs w:val="20"/>
                    </w:rPr>
                    <w:sym w:font="Wingdings 2" w:char="00A3"/>
                  </w:r>
                  <w:r>
                    <w:rPr>
                      <w:rFonts w:hint="eastAsia"/>
                      <w:kern w:val="0"/>
                      <w:sz w:val="20"/>
                      <w:szCs w:val="20"/>
                    </w:rPr>
                    <w:t>较好</w:t>
                  </w:r>
                </w:p>
              </w:tc>
              <w:tc>
                <w:tcPr>
                  <w:tcW w:w="1134" w:type="dxa"/>
                  <w:tcBorders>
                    <w:tl2br w:val="nil"/>
                    <w:tr2bl w:val="nil"/>
                  </w:tcBorders>
                </w:tcPr>
                <w:p w14:paraId="5E0DBEF8">
                  <w:pPr>
                    <w:jc w:val="right"/>
                    <w:rPr>
                      <w:kern w:val="0"/>
                      <w:sz w:val="20"/>
                      <w:szCs w:val="20"/>
                    </w:rPr>
                  </w:pPr>
                  <w:r>
                    <w:rPr>
                      <w:rFonts w:hint="eastAsia"/>
                      <w:kern w:val="0"/>
                      <w:sz w:val="20"/>
                      <w:szCs w:val="20"/>
                    </w:rPr>
                    <w:sym w:font="Wingdings 2" w:char="00A3"/>
                  </w:r>
                  <w:r>
                    <w:rPr>
                      <w:rFonts w:hint="eastAsia"/>
                      <w:kern w:val="0"/>
                      <w:sz w:val="20"/>
                      <w:szCs w:val="20"/>
                    </w:rPr>
                    <w:t>一般</w:t>
                  </w:r>
                </w:p>
              </w:tc>
              <w:tc>
                <w:tcPr>
                  <w:tcW w:w="1136" w:type="dxa"/>
                  <w:tcBorders>
                    <w:tl2br w:val="nil"/>
                    <w:tr2bl w:val="nil"/>
                  </w:tcBorders>
                </w:tcPr>
                <w:p w14:paraId="5064250E">
                  <w:pPr>
                    <w:jc w:val="right"/>
                    <w:rPr>
                      <w:kern w:val="0"/>
                      <w:sz w:val="20"/>
                      <w:szCs w:val="20"/>
                    </w:rPr>
                  </w:pPr>
                  <w:r>
                    <w:rPr>
                      <w:rFonts w:hint="eastAsia"/>
                      <w:kern w:val="0"/>
                      <w:sz w:val="20"/>
                      <w:szCs w:val="20"/>
                    </w:rPr>
                    <w:sym w:font="Wingdings 2" w:char="00A3"/>
                  </w:r>
                  <w:r>
                    <w:rPr>
                      <w:rFonts w:hint="eastAsia"/>
                      <w:kern w:val="0"/>
                      <w:sz w:val="20"/>
                      <w:szCs w:val="20"/>
                    </w:rPr>
                    <w:t>较差</w:t>
                  </w:r>
                </w:p>
              </w:tc>
            </w:tr>
            <w:tr w14:paraId="33E0452D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563" w:type="dxa"/>
                  <w:tcBorders>
                    <w:tl2br w:val="nil"/>
                    <w:tr2bl w:val="nil"/>
                  </w:tcBorders>
                </w:tcPr>
                <w:p w14:paraId="539888F2">
                  <w:pPr>
                    <w:rPr>
                      <w:kern w:val="0"/>
                      <w:sz w:val="20"/>
                      <w:szCs w:val="20"/>
                    </w:rPr>
                  </w:pPr>
                  <w:r>
                    <w:rPr>
                      <w:rFonts w:hint="eastAsia"/>
                      <w:kern w:val="0"/>
                      <w:sz w:val="20"/>
                      <w:szCs w:val="20"/>
                    </w:rPr>
                    <w:t>文档编写逻辑清晰</w:t>
                  </w:r>
                </w:p>
              </w:tc>
              <w:tc>
                <w:tcPr>
                  <w:tcW w:w="1134" w:type="dxa"/>
                  <w:tcBorders>
                    <w:tl2br w:val="nil"/>
                    <w:tr2bl w:val="nil"/>
                  </w:tcBorders>
                </w:tcPr>
                <w:p w14:paraId="1DCA8EAC">
                  <w:pPr>
                    <w:jc w:val="right"/>
                    <w:rPr>
                      <w:kern w:val="0"/>
                      <w:sz w:val="20"/>
                      <w:szCs w:val="20"/>
                    </w:rPr>
                  </w:pPr>
                  <w:r>
                    <w:rPr>
                      <w:rFonts w:hint="eastAsia"/>
                      <w:kern w:val="0"/>
                      <w:sz w:val="20"/>
                      <w:szCs w:val="20"/>
                    </w:rPr>
                    <w:sym w:font="Wingdings 2" w:char="00A3"/>
                  </w:r>
                  <w:r>
                    <w:rPr>
                      <w:rFonts w:hint="eastAsia"/>
                      <w:kern w:val="0"/>
                      <w:sz w:val="20"/>
                      <w:szCs w:val="20"/>
                    </w:rPr>
                    <w:t>很好</w:t>
                  </w:r>
                </w:p>
              </w:tc>
              <w:tc>
                <w:tcPr>
                  <w:tcW w:w="1134" w:type="dxa"/>
                  <w:tcBorders>
                    <w:tl2br w:val="nil"/>
                    <w:tr2bl w:val="nil"/>
                  </w:tcBorders>
                </w:tcPr>
                <w:p w14:paraId="7ED01F64">
                  <w:pPr>
                    <w:jc w:val="right"/>
                    <w:rPr>
                      <w:kern w:val="0"/>
                      <w:sz w:val="20"/>
                      <w:szCs w:val="20"/>
                    </w:rPr>
                  </w:pPr>
                  <w:r>
                    <w:rPr>
                      <w:rFonts w:hint="eastAsia"/>
                      <w:kern w:val="0"/>
                      <w:sz w:val="20"/>
                      <w:szCs w:val="20"/>
                    </w:rPr>
                    <w:sym w:font="Wingdings 2" w:char="00A3"/>
                  </w:r>
                  <w:r>
                    <w:rPr>
                      <w:rFonts w:hint="eastAsia"/>
                      <w:kern w:val="0"/>
                      <w:sz w:val="20"/>
                      <w:szCs w:val="20"/>
                    </w:rPr>
                    <w:t>较好</w:t>
                  </w:r>
                </w:p>
              </w:tc>
              <w:tc>
                <w:tcPr>
                  <w:tcW w:w="1134" w:type="dxa"/>
                  <w:tcBorders>
                    <w:tl2br w:val="nil"/>
                    <w:tr2bl w:val="nil"/>
                  </w:tcBorders>
                </w:tcPr>
                <w:p w14:paraId="11514767">
                  <w:pPr>
                    <w:jc w:val="right"/>
                    <w:rPr>
                      <w:kern w:val="0"/>
                      <w:sz w:val="20"/>
                      <w:szCs w:val="20"/>
                    </w:rPr>
                  </w:pPr>
                  <w:r>
                    <w:rPr>
                      <w:rFonts w:hint="eastAsia"/>
                      <w:kern w:val="0"/>
                      <w:sz w:val="20"/>
                      <w:szCs w:val="20"/>
                    </w:rPr>
                    <w:sym w:font="Wingdings 2" w:char="00A3"/>
                  </w:r>
                  <w:r>
                    <w:rPr>
                      <w:rFonts w:hint="eastAsia"/>
                      <w:kern w:val="0"/>
                      <w:sz w:val="20"/>
                      <w:szCs w:val="20"/>
                    </w:rPr>
                    <w:t>一般</w:t>
                  </w:r>
                </w:p>
              </w:tc>
              <w:tc>
                <w:tcPr>
                  <w:tcW w:w="1136" w:type="dxa"/>
                  <w:tcBorders>
                    <w:tl2br w:val="nil"/>
                    <w:tr2bl w:val="nil"/>
                  </w:tcBorders>
                </w:tcPr>
                <w:p w14:paraId="762CE87F">
                  <w:pPr>
                    <w:jc w:val="right"/>
                    <w:rPr>
                      <w:kern w:val="0"/>
                      <w:sz w:val="20"/>
                      <w:szCs w:val="20"/>
                    </w:rPr>
                  </w:pPr>
                  <w:r>
                    <w:rPr>
                      <w:rFonts w:hint="eastAsia"/>
                      <w:kern w:val="0"/>
                      <w:sz w:val="20"/>
                      <w:szCs w:val="20"/>
                    </w:rPr>
                    <w:sym w:font="Wingdings 2" w:char="00A3"/>
                  </w:r>
                  <w:r>
                    <w:rPr>
                      <w:rFonts w:hint="eastAsia"/>
                      <w:kern w:val="0"/>
                      <w:sz w:val="20"/>
                      <w:szCs w:val="20"/>
                    </w:rPr>
                    <w:t>较差</w:t>
                  </w:r>
                </w:p>
              </w:tc>
            </w:tr>
          </w:tbl>
          <w:p w14:paraId="3DCA9EB2">
            <w:pPr>
              <w:spacing w:before="0" w:after="0" w:line="300" w:lineRule="auto"/>
              <w:rPr>
                <w:kern w:val="0"/>
                <w:sz w:val="20"/>
                <w:szCs w:val="20"/>
              </w:rPr>
            </w:pPr>
          </w:p>
          <w:p w14:paraId="2136FA38">
            <w:pPr>
              <w:spacing w:before="0" w:after="0" w:line="300" w:lineRule="auto"/>
              <w:rPr>
                <w:kern w:val="0"/>
                <w:sz w:val="20"/>
                <w:szCs w:val="20"/>
              </w:rPr>
            </w:pPr>
          </w:p>
          <w:p w14:paraId="5529EADE">
            <w:pPr>
              <w:spacing w:before="0" w:after="0" w:line="300" w:lineRule="auto"/>
              <w:rPr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宋体"/>
                <w:b w:val="0"/>
                <w:kern w:val="0"/>
                <w:sz w:val="21"/>
                <w:szCs w:val="20"/>
              </w:rPr>
              <w:t>完成的设计方案特色之处：</w:t>
            </w:r>
          </w:p>
          <w:p w14:paraId="44242D27">
            <w:pPr>
              <w:spacing w:before="0" w:after="0" w:line="300" w:lineRule="auto"/>
              <w:rPr>
                <w:kern w:val="0"/>
                <w:sz w:val="20"/>
                <w:szCs w:val="20"/>
              </w:rPr>
            </w:pPr>
          </w:p>
          <w:p w14:paraId="3AE4F73A">
            <w:pPr>
              <w:spacing w:before="0" w:after="0" w:line="300" w:lineRule="auto"/>
              <w:rPr>
                <w:kern w:val="0"/>
                <w:sz w:val="20"/>
                <w:szCs w:val="20"/>
              </w:rPr>
            </w:pPr>
          </w:p>
          <w:p w14:paraId="7CED3F89">
            <w:pPr>
              <w:spacing w:before="0" w:after="0" w:line="300" w:lineRule="auto"/>
              <w:rPr>
                <w:kern w:val="0"/>
                <w:sz w:val="20"/>
                <w:szCs w:val="20"/>
              </w:rPr>
            </w:pPr>
          </w:p>
        </w:tc>
      </w:tr>
      <w:tr w14:paraId="1B80A7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1195" w:type="dxa"/>
            <w:vAlign w:val="center"/>
          </w:tcPr>
          <w:p w14:paraId="31334D2F">
            <w:pPr>
              <w:spacing w:before="0" w:after="0" w:line="300" w:lineRule="auto"/>
              <w:jc w:val="center"/>
              <w:rPr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宋体"/>
                <w:b w:val="0"/>
                <w:kern w:val="0"/>
                <w:sz w:val="21"/>
                <w:szCs w:val="20"/>
              </w:rPr>
              <w:t>成绩</w:t>
            </w:r>
          </w:p>
        </w:tc>
        <w:tc>
          <w:tcPr>
            <w:tcW w:w="1176" w:type="dxa"/>
            <w:vAlign w:val="center"/>
          </w:tcPr>
          <w:p w14:paraId="1824DFCA">
            <w:pPr>
              <w:spacing w:before="0" w:after="0" w:line="300" w:lineRule="auto"/>
              <w:jc w:val="center"/>
              <w:rPr>
                <w:kern w:val="0"/>
                <w:sz w:val="20"/>
                <w:szCs w:val="20"/>
              </w:rPr>
            </w:pPr>
          </w:p>
        </w:tc>
        <w:tc>
          <w:tcPr>
            <w:tcW w:w="1754" w:type="dxa"/>
            <w:gridSpan w:val="3"/>
            <w:vAlign w:val="center"/>
          </w:tcPr>
          <w:p w14:paraId="59AA0872">
            <w:pPr>
              <w:spacing w:before="0" w:after="0" w:line="300" w:lineRule="auto"/>
              <w:jc w:val="center"/>
              <w:rPr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宋体"/>
                <w:b w:val="0"/>
                <w:kern w:val="0"/>
                <w:sz w:val="21"/>
                <w:szCs w:val="20"/>
              </w:rPr>
              <w:t>指导教师签名</w:t>
            </w:r>
          </w:p>
        </w:tc>
        <w:tc>
          <w:tcPr>
            <w:tcW w:w="1465" w:type="dxa"/>
            <w:vAlign w:val="center"/>
          </w:tcPr>
          <w:p w14:paraId="6B12E2DD">
            <w:pPr>
              <w:spacing w:before="0" w:after="0" w:line="300" w:lineRule="auto"/>
              <w:jc w:val="center"/>
              <w:rPr>
                <w:kern w:val="0"/>
                <w:sz w:val="20"/>
                <w:szCs w:val="20"/>
              </w:rPr>
            </w:pPr>
          </w:p>
        </w:tc>
        <w:tc>
          <w:tcPr>
            <w:tcW w:w="1465" w:type="dxa"/>
            <w:gridSpan w:val="3"/>
            <w:vAlign w:val="center"/>
          </w:tcPr>
          <w:p w14:paraId="4E96363D">
            <w:pPr>
              <w:spacing w:before="0" w:after="0" w:line="300" w:lineRule="auto"/>
              <w:jc w:val="center"/>
              <w:rPr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宋体"/>
                <w:b w:val="0"/>
                <w:kern w:val="0"/>
                <w:sz w:val="21"/>
                <w:szCs w:val="20"/>
              </w:rPr>
              <w:t>日期</w:t>
            </w:r>
          </w:p>
        </w:tc>
        <w:tc>
          <w:tcPr>
            <w:tcW w:w="1467" w:type="dxa"/>
            <w:gridSpan w:val="2"/>
            <w:vAlign w:val="center"/>
          </w:tcPr>
          <w:p w14:paraId="73ABA909">
            <w:pPr>
              <w:spacing w:before="0" w:after="0" w:line="300" w:lineRule="auto"/>
              <w:jc w:val="center"/>
              <w:rPr>
                <w:rFonts w:hint="eastAsia" w:eastAsia="宋体"/>
                <w:kern w:val="0"/>
                <w:sz w:val="20"/>
                <w:szCs w:val="20"/>
                <w:lang w:val="en-US" w:eastAsia="zh-CN"/>
              </w:rPr>
            </w:pPr>
            <w:r>
              <w:rPr>
                <w:rFonts w:ascii="Times New Roman" w:hAnsi="Times New Roman" w:eastAsia="宋体"/>
                <w:b w:val="0"/>
                <w:kern w:val="0"/>
                <w:sz w:val="21"/>
                <w:szCs w:val="20"/>
              </w:rPr>
              <w:t>202</w:t>
            </w:r>
            <w:r>
              <w:rPr>
                <w:rFonts w:hint="eastAsia" w:ascii="Times New Roman" w:hAnsi="Times New Roman" w:eastAsia="宋体"/>
                <w:b w:val="0"/>
                <w:kern w:val="0"/>
                <w:sz w:val="21"/>
                <w:szCs w:val="20"/>
                <w:lang w:val="en-US" w:eastAsia="zh-CN"/>
              </w:rPr>
              <w:t>6</w:t>
            </w:r>
            <w:r>
              <w:rPr>
                <w:rFonts w:ascii="Times New Roman" w:hAnsi="Times New Roman" w:eastAsia="宋体"/>
                <w:b w:val="0"/>
                <w:kern w:val="0"/>
                <w:sz w:val="21"/>
                <w:szCs w:val="20"/>
              </w:rPr>
              <w:t>.</w:t>
            </w:r>
            <w:r>
              <w:rPr>
                <w:rFonts w:hint="eastAsia" w:ascii="Times New Roman" w:hAnsi="Times New Roman" w:eastAsia="宋体"/>
                <w:b w:val="0"/>
                <w:kern w:val="0"/>
                <w:sz w:val="21"/>
                <w:szCs w:val="20"/>
                <w:lang w:val="en-US" w:eastAsia="zh-CN"/>
              </w:rPr>
              <w:t>6</w:t>
            </w:r>
            <w:r>
              <w:rPr>
                <w:rFonts w:ascii="Times New Roman" w:hAnsi="Times New Roman" w:eastAsia="宋体"/>
                <w:b w:val="0"/>
                <w:kern w:val="0"/>
                <w:sz w:val="21"/>
                <w:szCs w:val="20"/>
              </w:rPr>
              <w:t>.2</w:t>
            </w:r>
            <w:r>
              <w:rPr>
                <w:rFonts w:hint="eastAsia" w:ascii="Times New Roman" w:hAnsi="Times New Roman" w:eastAsia="宋体"/>
                <w:b w:val="0"/>
                <w:kern w:val="0"/>
                <w:sz w:val="21"/>
                <w:szCs w:val="20"/>
                <w:lang w:val="en-US" w:eastAsia="zh-CN"/>
              </w:rPr>
              <w:t>6</w:t>
            </w:r>
          </w:p>
        </w:tc>
      </w:tr>
    </w:tbl>
    <w:p w14:paraId="1F5B3A94">
      <w:pPr>
        <w:widowControl/>
        <w:jc w:val="left"/>
        <w:rPr>
          <w:b/>
          <w:sz w:val="32"/>
          <w:szCs w:val="32"/>
        </w:rPr>
      </w:pPr>
    </w:p>
    <w:sectPr>
      <w:pgSz w:w="11906" w:h="16838"/>
      <w:pgMar w:top="1440" w:right="1757" w:bottom="1440" w:left="1757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隶书">
    <w:panose1 w:val="02010509060101010101"/>
    <w:charset w:val="86"/>
    <w:family w:val="modern"/>
    <w:pitch w:val="default"/>
    <w:sig w:usb0="00000001" w:usb1="080E0000" w:usb2="00000000" w:usb3="00000000" w:csb0="00040000" w:csb1="00000000"/>
  </w:font>
  <w:font w:name="华文行楷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楷体_GB2312">
    <w:altName w:val="楷体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Wingdings 2">
    <w:panose1 w:val="05020102010507070707"/>
    <w:charset w:val="02"/>
    <w:family w:val="roman"/>
    <w:pitch w:val="default"/>
    <w:sig w:usb0="00000000" w:usb1="00000000" w:usb2="00000000" w:usb3="00000000" w:csb0="8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urrentStyleCount" w:val="5"/>
  </w:docVars>
  <w:rsids>
    <w:rsidRoot w:val="00F03787"/>
    <w:rsid w:val="0000091F"/>
    <w:rsid w:val="00007A1C"/>
    <w:rsid w:val="00007ED1"/>
    <w:rsid w:val="00012201"/>
    <w:rsid w:val="000473DF"/>
    <w:rsid w:val="00055626"/>
    <w:rsid w:val="00060249"/>
    <w:rsid w:val="000670E2"/>
    <w:rsid w:val="000748C6"/>
    <w:rsid w:val="00083084"/>
    <w:rsid w:val="000869C8"/>
    <w:rsid w:val="0009436D"/>
    <w:rsid w:val="000A3639"/>
    <w:rsid w:val="000A5F16"/>
    <w:rsid w:val="000A69AE"/>
    <w:rsid w:val="000A6B86"/>
    <w:rsid w:val="000B5186"/>
    <w:rsid w:val="000E2047"/>
    <w:rsid w:val="000F209E"/>
    <w:rsid w:val="000F2341"/>
    <w:rsid w:val="001048DE"/>
    <w:rsid w:val="00115C0C"/>
    <w:rsid w:val="00130CED"/>
    <w:rsid w:val="001513CF"/>
    <w:rsid w:val="001643C5"/>
    <w:rsid w:val="0018003C"/>
    <w:rsid w:val="00182260"/>
    <w:rsid w:val="00184C5E"/>
    <w:rsid w:val="00185712"/>
    <w:rsid w:val="001904CF"/>
    <w:rsid w:val="001953DC"/>
    <w:rsid w:val="001A1B3C"/>
    <w:rsid w:val="001A7EC9"/>
    <w:rsid w:val="001B0CCE"/>
    <w:rsid w:val="001B5094"/>
    <w:rsid w:val="001B5571"/>
    <w:rsid w:val="001C0FFC"/>
    <w:rsid w:val="001C2984"/>
    <w:rsid w:val="001C71B9"/>
    <w:rsid w:val="001E3325"/>
    <w:rsid w:val="00202AF3"/>
    <w:rsid w:val="002144AD"/>
    <w:rsid w:val="00226D76"/>
    <w:rsid w:val="00234FE4"/>
    <w:rsid w:val="00245CD6"/>
    <w:rsid w:val="00257616"/>
    <w:rsid w:val="002710E1"/>
    <w:rsid w:val="002728FF"/>
    <w:rsid w:val="002A5AFE"/>
    <w:rsid w:val="002A7575"/>
    <w:rsid w:val="002F1B92"/>
    <w:rsid w:val="002F30F0"/>
    <w:rsid w:val="002F6C02"/>
    <w:rsid w:val="002F6E3A"/>
    <w:rsid w:val="00301D09"/>
    <w:rsid w:val="00303B29"/>
    <w:rsid w:val="00311CB7"/>
    <w:rsid w:val="00341E7F"/>
    <w:rsid w:val="00344FA4"/>
    <w:rsid w:val="00351584"/>
    <w:rsid w:val="003565EB"/>
    <w:rsid w:val="00372683"/>
    <w:rsid w:val="003727EF"/>
    <w:rsid w:val="00372E5C"/>
    <w:rsid w:val="003773B2"/>
    <w:rsid w:val="0037782B"/>
    <w:rsid w:val="00382550"/>
    <w:rsid w:val="00386DC6"/>
    <w:rsid w:val="003878C8"/>
    <w:rsid w:val="0039021F"/>
    <w:rsid w:val="00390822"/>
    <w:rsid w:val="00390A5C"/>
    <w:rsid w:val="00395BB1"/>
    <w:rsid w:val="00402CB3"/>
    <w:rsid w:val="004107C9"/>
    <w:rsid w:val="00414A68"/>
    <w:rsid w:val="00416AA1"/>
    <w:rsid w:val="0042102C"/>
    <w:rsid w:val="00425FF9"/>
    <w:rsid w:val="004274C7"/>
    <w:rsid w:val="004306DB"/>
    <w:rsid w:val="004313CA"/>
    <w:rsid w:val="00435634"/>
    <w:rsid w:val="004A0059"/>
    <w:rsid w:val="004B25A0"/>
    <w:rsid w:val="004E1D2A"/>
    <w:rsid w:val="004F1A34"/>
    <w:rsid w:val="005107F4"/>
    <w:rsid w:val="0052384C"/>
    <w:rsid w:val="00531BAE"/>
    <w:rsid w:val="005416CC"/>
    <w:rsid w:val="00542DF6"/>
    <w:rsid w:val="0054385C"/>
    <w:rsid w:val="0054434C"/>
    <w:rsid w:val="005460FB"/>
    <w:rsid w:val="00551247"/>
    <w:rsid w:val="00554C10"/>
    <w:rsid w:val="00555DA4"/>
    <w:rsid w:val="00561A56"/>
    <w:rsid w:val="00565EC8"/>
    <w:rsid w:val="00575E28"/>
    <w:rsid w:val="00583762"/>
    <w:rsid w:val="005B6E9E"/>
    <w:rsid w:val="005D4810"/>
    <w:rsid w:val="005E493C"/>
    <w:rsid w:val="005E6882"/>
    <w:rsid w:val="00603A02"/>
    <w:rsid w:val="006065C0"/>
    <w:rsid w:val="0061316C"/>
    <w:rsid w:val="0061329A"/>
    <w:rsid w:val="00632957"/>
    <w:rsid w:val="00640AAC"/>
    <w:rsid w:val="006417A2"/>
    <w:rsid w:val="0065009A"/>
    <w:rsid w:val="006561BA"/>
    <w:rsid w:val="00656F62"/>
    <w:rsid w:val="00660535"/>
    <w:rsid w:val="00667E76"/>
    <w:rsid w:val="006A2B7B"/>
    <w:rsid w:val="006B0365"/>
    <w:rsid w:val="006B64C4"/>
    <w:rsid w:val="006C2350"/>
    <w:rsid w:val="006C7416"/>
    <w:rsid w:val="006C76E8"/>
    <w:rsid w:val="006D2C92"/>
    <w:rsid w:val="006E0A23"/>
    <w:rsid w:val="006E1EE9"/>
    <w:rsid w:val="006F38ED"/>
    <w:rsid w:val="00700DAE"/>
    <w:rsid w:val="007038A1"/>
    <w:rsid w:val="0070591D"/>
    <w:rsid w:val="0071395E"/>
    <w:rsid w:val="00727707"/>
    <w:rsid w:val="007319D7"/>
    <w:rsid w:val="00741D8B"/>
    <w:rsid w:val="00761BFD"/>
    <w:rsid w:val="00770C16"/>
    <w:rsid w:val="00775020"/>
    <w:rsid w:val="00776E59"/>
    <w:rsid w:val="007A1030"/>
    <w:rsid w:val="007D29C8"/>
    <w:rsid w:val="007E0F6C"/>
    <w:rsid w:val="007E6BA8"/>
    <w:rsid w:val="007E7F46"/>
    <w:rsid w:val="00800D32"/>
    <w:rsid w:val="00805678"/>
    <w:rsid w:val="00830BDA"/>
    <w:rsid w:val="00831DE3"/>
    <w:rsid w:val="00893CF7"/>
    <w:rsid w:val="0089501A"/>
    <w:rsid w:val="00896DC9"/>
    <w:rsid w:val="008A1128"/>
    <w:rsid w:val="008B2BDA"/>
    <w:rsid w:val="008B3E71"/>
    <w:rsid w:val="008C7D73"/>
    <w:rsid w:val="008D530F"/>
    <w:rsid w:val="008F1AC3"/>
    <w:rsid w:val="008F5D69"/>
    <w:rsid w:val="00924531"/>
    <w:rsid w:val="009260AD"/>
    <w:rsid w:val="0093362C"/>
    <w:rsid w:val="00945BCC"/>
    <w:rsid w:val="00965C8F"/>
    <w:rsid w:val="0096680B"/>
    <w:rsid w:val="00977E77"/>
    <w:rsid w:val="00996F63"/>
    <w:rsid w:val="009A1F82"/>
    <w:rsid w:val="009B52AC"/>
    <w:rsid w:val="009B5A59"/>
    <w:rsid w:val="009C2A41"/>
    <w:rsid w:val="009D119D"/>
    <w:rsid w:val="009F07ED"/>
    <w:rsid w:val="009F136F"/>
    <w:rsid w:val="009F5D22"/>
    <w:rsid w:val="009F75DA"/>
    <w:rsid w:val="00A27ED8"/>
    <w:rsid w:val="00A44F76"/>
    <w:rsid w:val="00A653E5"/>
    <w:rsid w:val="00A66962"/>
    <w:rsid w:val="00A7527A"/>
    <w:rsid w:val="00A820B3"/>
    <w:rsid w:val="00A866D3"/>
    <w:rsid w:val="00AA7D3B"/>
    <w:rsid w:val="00AB6781"/>
    <w:rsid w:val="00AB6B86"/>
    <w:rsid w:val="00AD0622"/>
    <w:rsid w:val="00AD7EB8"/>
    <w:rsid w:val="00AE3B9C"/>
    <w:rsid w:val="00AE4EFA"/>
    <w:rsid w:val="00B034F9"/>
    <w:rsid w:val="00B05330"/>
    <w:rsid w:val="00B206DF"/>
    <w:rsid w:val="00B239E0"/>
    <w:rsid w:val="00B357F6"/>
    <w:rsid w:val="00B42345"/>
    <w:rsid w:val="00B4598E"/>
    <w:rsid w:val="00B611F0"/>
    <w:rsid w:val="00B65720"/>
    <w:rsid w:val="00BD36DF"/>
    <w:rsid w:val="00BD52C3"/>
    <w:rsid w:val="00BD6732"/>
    <w:rsid w:val="00BE5049"/>
    <w:rsid w:val="00BE5D65"/>
    <w:rsid w:val="00BE6791"/>
    <w:rsid w:val="00C05B06"/>
    <w:rsid w:val="00C12702"/>
    <w:rsid w:val="00C137F1"/>
    <w:rsid w:val="00C15738"/>
    <w:rsid w:val="00C21B88"/>
    <w:rsid w:val="00C314F3"/>
    <w:rsid w:val="00CA052E"/>
    <w:rsid w:val="00CA21E6"/>
    <w:rsid w:val="00CB50B4"/>
    <w:rsid w:val="00CD1D7F"/>
    <w:rsid w:val="00CD6301"/>
    <w:rsid w:val="00D10AF4"/>
    <w:rsid w:val="00D22C2F"/>
    <w:rsid w:val="00D34BA4"/>
    <w:rsid w:val="00D37EB4"/>
    <w:rsid w:val="00D4196E"/>
    <w:rsid w:val="00D44766"/>
    <w:rsid w:val="00D5094F"/>
    <w:rsid w:val="00D51D29"/>
    <w:rsid w:val="00D62633"/>
    <w:rsid w:val="00D70239"/>
    <w:rsid w:val="00D70F15"/>
    <w:rsid w:val="00D7253E"/>
    <w:rsid w:val="00D741B5"/>
    <w:rsid w:val="00D8024A"/>
    <w:rsid w:val="00D826C9"/>
    <w:rsid w:val="00D8449B"/>
    <w:rsid w:val="00DA01DA"/>
    <w:rsid w:val="00DB1241"/>
    <w:rsid w:val="00DD7388"/>
    <w:rsid w:val="00DF75E6"/>
    <w:rsid w:val="00E11277"/>
    <w:rsid w:val="00E775A0"/>
    <w:rsid w:val="00E84DAD"/>
    <w:rsid w:val="00E90330"/>
    <w:rsid w:val="00E94F0E"/>
    <w:rsid w:val="00EA4DBF"/>
    <w:rsid w:val="00EC220D"/>
    <w:rsid w:val="00ED11B6"/>
    <w:rsid w:val="00ED1D92"/>
    <w:rsid w:val="00ED2B9C"/>
    <w:rsid w:val="00EE4345"/>
    <w:rsid w:val="00EE5F75"/>
    <w:rsid w:val="00EE6B66"/>
    <w:rsid w:val="00EE7ACB"/>
    <w:rsid w:val="00F03787"/>
    <w:rsid w:val="00F1239C"/>
    <w:rsid w:val="00F24374"/>
    <w:rsid w:val="00F43A68"/>
    <w:rsid w:val="00F511F0"/>
    <w:rsid w:val="00F756C8"/>
    <w:rsid w:val="00F85DE9"/>
    <w:rsid w:val="00F9004B"/>
    <w:rsid w:val="00F91F07"/>
    <w:rsid w:val="00F94341"/>
    <w:rsid w:val="00FA096E"/>
    <w:rsid w:val="00FB5FAA"/>
    <w:rsid w:val="00FC47CB"/>
    <w:rsid w:val="00FE6C29"/>
    <w:rsid w:val="07AD3B8F"/>
    <w:rsid w:val="0AA5637A"/>
    <w:rsid w:val="0CBA266F"/>
    <w:rsid w:val="0FAB0EE6"/>
    <w:rsid w:val="103D739A"/>
    <w:rsid w:val="14DD53DE"/>
    <w:rsid w:val="192C2713"/>
    <w:rsid w:val="24EF58C2"/>
    <w:rsid w:val="24F14E9E"/>
    <w:rsid w:val="2F441493"/>
    <w:rsid w:val="360441BF"/>
    <w:rsid w:val="3D0A4004"/>
    <w:rsid w:val="3F400856"/>
    <w:rsid w:val="3F8B4A3E"/>
    <w:rsid w:val="491F5EC6"/>
    <w:rsid w:val="4ACB5A46"/>
    <w:rsid w:val="55E02D43"/>
    <w:rsid w:val="56D557F9"/>
    <w:rsid w:val="5B426A53"/>
    <w:rsid w:val="5D626A4F"/>
    <w:rsid w:val="5D972330"/>
    <w:rsid w:val="5E9536C8"/>
    <w:rsid w:val="5FC30167"/>
    <w:rsid w:val="61F34CE4"/>
    <w:rsid w:val="62E0445B"/>
    <w:rsid w:val="64907ECC"/>
    <w:rsid w:val="6787060F"/>
    <w:rsid w:val="6B6B5F51"/>
    <w:rsid w:val="6BC473B0"/>
    <w:rsid w:val="6FC27733"/>
    <w:rsid w:val="77CF0586"/>
    <w:rsid w:val="7A8F398F"/>
    <w:rsid w:val="7E354B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qFormat="1" w:unhideWhenUsed="0" w:uiPriority="0" w:semiHidden="0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0" w:semiHidden="0" w:name="Strong"/>
    <w:lsdException w:qFormat="1" w:unhideWhenUsed="0" w:uiPriority="20" w:semiHidden="0" w:name="Emphasis"/>
    <w:lsdException w:uiPriority="99" w:name="Document Map"/>
    <w:lsdException w:qFormat="1" w:unhideWhenUsed="0" w:uiPriority="0" w:semiHidden="0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0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2"/>
      <w:lang w:val="en-US" w:eastAsia="zh-CN" w:bidi="ar-SA"/>
      <w14:ligatures w14:val="none"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qFormat/>
    <w:uiPriority w:val="0"/>
    <w:rPr>
      <w:rFonts w:ascii="宋体" w:hAnsi="Courier New"/>
      <w:szCs w:val="20"/>
    </w:rPr>
  </w:style>
  <w:style w:type="paragraph" w:styleId="3">
    <w:name w:val="footer"/>
    <w:basedOn w:val="1"/>
    <w:link w:val="15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14"/>
    <w:unhideWhenUsed/>
    <w:qFormat/>
    <w:uiPriority w:val="9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toc 1"/>
    <w:basedOn w:val="1"/>
    <w:next w:val="1"/>
    <w:autoRedefine/>
    <w:unhideWhenUsed/>
    <w:qFormat/>
    <w:uiPriority w:val="39"/>
  </w:style>
  <w:style w:type="paragraph" w:styleId="6">
    <w:name w:val="Body Text Indent 3"/>
    <w:basedOn w:val="1"/>
    <w:qFormat/>
    <w:uiPriority w:val="0"/>
    <w:pPr>
      <w:ind w:firstLine="420"/>
    </w:pPr>
    <w:rPr>
      <w:rFonts w:ascii="宋体" w:hAnsi="宋体"/>
      <w:sz w:val="24"/>
    </w:rPr>
  </w:style>
  <w:style w:type="paragraph" w:styleId="7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8">
    <w:name w:val="Normal (Web)"/>
    <w:basedOn w:val="1"/>
    <w:semiHidden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  <w:szCs w:val="24"/>
    </w:rPr>
  </w:style>
  <w:style w:type="table" w:styleId="10">
    <w:name w:val="Table Grid"/>
    <w:basedOn w:val="9"/>
    <w:qFormat/>
    <w:uiPriority w:val="0"/>
    <w:pPr>
      <w:widowControl w:val="0"/>
      <w:jc w:val="both"/>
    </w:pPr>
    <w:rPr>
      <w:kern w:val="0"/>
      <w:sz w:val="20"/>
      <w:szCs w:val="20"/>
      <w14:ligatures w14:val="none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2">
    <w:name w:val="Strong"/>
    <w:qFormat/>
    <w:uiPriority w:val="0"/>
    <w:rPr>
      <w:b/>
      <w:bCs/>
    </w:rPr>
  </w:style>
  <w:style w:type="character" w:styleId="13">
    <w:name w:val="Hyperlink"/>
    <w:basedOn w:val="11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14">
    <w:name w:val="页眉 字符"/>
    <w:basedOn w:val="11"/>
    <w:link w:val="4"/>
    <w:qFormat/>
    <w:uiPriority w:val="99"/>
    <w:rPr>
      <w:sz w:val="18"/>
      <w:szCs w:val="18"/>
    </w:rPr>
  </w:style>
  <w:style w:type="character" w:customStyle="1" w:styleId="15">
    <w:name w:val="页脚 字符"/>
    <w:basedOn w:val="11"/>
    <w:link w:val="3"/>
    <w:qFormat/>
    <w:uiPriority w:val="99"/>
    <w:rPr>
      <w:sz w:val="18"/>
      <w:szCs w:val="18"/>
    </w:rPr>
  </w:style>
  <w:style w:type="paragraph" w:styleId="16">
    <w:name w:val="List Paragraph"/>
    <w:basedOn w:val="1"/>
    <w:qFormat/>
    <w:uiPriority w:val="1"/>
    <w:pPr>
      <w:ind w:left="640" w:hanging="421"/>
    </w:pPr>
    <w:rPr>
      <w:rFonts w:ascii="宋体" w:hAnsi="宋体" w:cs="宋体"/>
      <w:szCs w:val="24"/>
      <w:lang w:val="zh-CN" w:bidi="zh-CN"/>
    </w:rPr>
  </w:style>
</w:style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image" Target="media/image2.jpe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8" Type="http://schemas.openxmlformats.org/officeDocument/2006/relationships/image" Target="media/image3.png"/><Relationship Id="rId9" Type="http://schemas.openxmlformats.org/officeDocument/2006/relationships/image" Target="media/image4.png"/><Relationship Id="rId10" Type="http://schemas.openxmlformats.org/officeDocument/2006/relationships/image" Target="media/image5.png"/><Relationship Id="rId11" Type="http://schemas.openxmlformats.org/officeDocument/2006/relationships/image" Target="media/image6.png"/><Relationship Id="rId12" Type="http://schemas.openxmlformats.org/officeDocument/2006/relationships/image" Target="media/image7.png"/><Relationship Id="rId13" Type="http://schemas.openxmlformats.org/officeDocument/2006/relationships/image" Target="media/image8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B5F417C-EE99-47A3-9983-B6AE405E1B82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439</Words>
  <Characters>488</Characters>
  <Lines>244</Lines>
  <Paragraphs>268</Paragraphs>
  <TotalTime>2</TotalTime>
  <ScaleCrop>false</ScaleCrop>
  <LinksUpToDate>false</LinksUpToDate>
  <CharactersWithSpaces>700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2024-06-21T13:47:00Z</dcterms:created>
  <dc:creator>华剑椿</dc:creator>
  <cp:lastModifiedBy>乐洋</cp:lastModifiedBy>
  <cp:lastPrinted>2024-06-25T02:55:00Z</cp:lastPrinted>
  <dcterms:modified xsi:type="dcterms:W3CDTF">2026-06-19T11:46:55Z</dcterms:modified>
  <cp:revision>266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eyJoZGlkIjoiYmMyYTY0ZmFhODkyYjFlMjI1MWMzMzRkMjg4NTFlNTMiLCJ1c2VySWQiOiIxNDc5NTE5MjYzIn0=</vt:lpwstr>
  </property>
  <property fmtid="{D5CDD505-2E9C-101B-9397-08002B2CF9AE}" pid="3" name="KSOProductBuildVer">
    <vt:lpwstr>2052-12.1.0.26895</vt:lpwstr>
  </property>
  <property fmtid="{D5CDD505-2E9C-101B-9397-08002B2CF9AE}" pid="4" name="ICV">
    <vt:lpwstr>60518C02D7704874AD0D3E5606075117_12</vt:lpwstr>
  </property>
</Properties>
</file>