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Onboarding Procedure</w:t>
      </w:r>
    </w:p>
    <w:p>
      <w:r>
        <w:t>This document describes how to onboard a new vendor into the procurement system.</w:t>
      </w:r>
    </w:p>
    <w:p>
      <w:pPr>
        <w:pStyle w:val="Heading2"/>
      </w:pPr>
      <w:r>
        <w:t>Eligibility Requirements</w:t>
      </w:r>
    </w:p>
    <w:p>
      <w:r>
        <w:t>A vendor must hold a valid tax identification number and a signed NDA on file.</w:t>
      </w:r>
    </w:p>
    <w:p>
      <w:pPr>
        <w:pStyle w:val="Heading2"/>
      </w:pPr>
      <w:r>
        <w:t>Approval Steps</w:t>
      </w:r>
    </w:p>
    <w:p>
      <w:r>
        <w:t>Step 1: submit intake form.</w:t>
      </w:r>
      <w:r>
        <w:br/>
      </w:r>
      <w:r>
        <w:t>Step 2: legal review (line break above is a hard line break inside one run).</w:t>
      </w:r>
    </w:p>
    <w:p>
      <w:r>
        <w:t>A tab</w:t>
        <w:tab/>
        <w:t>character appears in this paragraph too.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