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3d9fff" w:val="clear"/>
        <w:spacing w:after="300" w:before="0" w:line="280.7999999999999" w:lineRule="auto"/>
        <w:rPr>
          <w:b w:val="1"/>
          <w:color w:val="ffffff"/>
          <w:sz w:val="72"/>
          <w:szCs w:val="72"/>
        </w:rPr>
      </w:pPr>
      <w:bookmarkStart w:colFirst="0" w:colLast="0" w:name="_gjdgxs" w:id="0"/>
      <w:bookmarkEnd w:id="0"/>
      <w:hyperlink r:id="rId6">
        <w:r w:rsidDel="00000000" w:rsidR="00000000" w:rsidRPr="00000000">
          <w:rPr>
            <w:b w:val="1"/>
            <w:color w:val="ffffff"/>
            <w:sz w:val="72"/>
            <w:szCs w:val="72"/>
            <w:rtl w:val="0"/>
          </w:rPr>
          <w:t xml:space="preserve">C</w:t>
        </w:r>
      </w:hyperlink>
      <w:r w:rsidDel="00000000" w:rsidR="00000000" w:rsidRPr="00000000">
        <w:rPr>
          <w:b w:val="1"/>
          <w:color w:val="ffffff"/>
          <w:sz w:val="72"/>
          <w:szCs w:val="72"/>
          <w:rtl w:val="0"/>
        </w:rPr>
        <w:t xml:space="preserve">ognigy Voice Gateway Endpoint</w:t>
      </w:r>
    </w:p>
    <w:p w:rsidR="00000000" w:rsidDel="00000000" w:rsidP="00000000" w:rsidRDefault="00000000" w:rsidRPr="00000000" w14:paraId="00000002">
      <w:pPr>
        <w:shd w:fill="ffffff" w:val="clear"/>
        <w:spacing w:after="240" w:lineRule="auto"/>
        <w:rPr>
          <w:color w:val="171d29"/>
          <w:sz w:val="24"/>
          <w:szCs w:val="24"/>
        </w:rPr>
      </w:pPr>
      <w:r w:rsidDel="00000000" w:rsidR="00000000" w:rsidRPr="00000000">
        <w:rPr>
          <w:rtl w:val="0"/>
        </w:rPr>
      </w:r>
    </w:p>
    <w:p w:rsidR="00000000" w:rsidDel="00000000" w:rsidP="00000000" w:rsidRDefault="00000000" w:rsidRPr="00000000" w14:paraId="00000003">
      <w:pPr>
        <w:shd w:fill="ffffff" w:val="clear"/>
        <w:spacing w:after="240" w:lineRule="auto"/>
        <w:rPr>
          <w:color w:val="171d29"/>
          <w:sz w:val="24"/>
          <w:szCs w:val="24"/>
        </w:rPr>
      </w:pPr>
      <w:r w:rsidDel="00000000" w:rsidR="00000000" w:rsidRPr="00000000">
        <w:rPr>
          <w:i w:val="1"/>
          <w:color w:val="171d29"/>
          <w:sz w:val="24"/>
          <w:szCs w:val="24"/>
          <w:rtl w:val="0"/>
        </w:rPr>
        <w:t xml:space="preserve">Cognigy Voice Gateway Endpoint</w:t>
      </w:r>
      <w:r w:rsidDel="00000000" w:rsidR="00000000" w:rsidRPr="00000000">
        <w:rPr>
          <w:color w:val="171d29"/>
          <w:sz w:val="24"/>
          <w:szCs w:val="24"/>
          <w:rtl w:val="0"/>
        </w:rPr>
        <w:t xml:space="preserve"> </w:t>
      </w:r>
      <w:r w:rsidDel="00000000" w:rsidR="00000000" w:rsidRPr="00000000">
        <w:rPr>
          <w:color w:val="171d29"/>
          <w:sz w:val="24"/>
          <w:szCs w:val="24"/>
          <w:rtl w:val="0"/>
        </w:rPr>
        <w:t xml:space="preserve">is a native Endpoint within the Cognigy.AI platform that enables AI agents to interact with users through voice communication. This native or first-party integration connects AI Agents to contact centers or phone numbers, allowing users to speak with the agents instead of writing.</w:t>
      </w:r>
    </w:p>
    <w:p w:rsidR="00000000" w:rsidDel="00000000" w:rsidP="00000000" w:rsidRDefault="00000000" w:rsidRPr="00000000" w14:paraId="00000004">
      <w:pPr>
        <w:pStyle w:val="Heading2"/>
        <w:shd w:fill="ffffff" w:val="clear"/>
        <w:spacing w:after="240" w:lineRule="auto"/>
        <w:rPr/>
      </w:pPr>
      <w:bookmarkStart w:colFirst="0" w:colLast="0" w:name="_juvw8r2uaids" w:id="1"/>
      <w:bookmarkEnd w:id="1"/>
      <w:r w:rsidDel="00000000" w:rsidR="00000000" w:rsidRPr="00000000">
        <w:rPr>
          <w:rtl w:val="0"/>
        </w:rPr>
        <w:t xml:space="preserve">Generic Endpoint Settings</w:t>
      </w:r>
    </w:p>
    <w:p w:rsidR="00000000" w:rsidDel="00000000" w:rsidP="00000000" w:rsidRDefault="00000000" w:rsidRPr="00000000" w14:paraId="00000005">
      <w:pPr>
        <w:shd w:fill="ffffff" w:val="clear"/>
        <w:spacing w:after="240" w:lineRule="auto"/>
        <w:rPr>
          <w:color w:val="171d29"/>
          <w:sz w:val="24"/>
          <w:szCs w:val="24"/>
        </w:rPr>
      </w:pPr>
      <w:r w:rsidDel="00000000" w:rsidR="00000000" w:rsidRPr="00000000">
        <w:rPr>
          <w:color w:val="171d29"/>
          <w:sz w:val="24"/>
          <w:szCs w:val="24"/>
          <w:rtl w:val="0"/>
        </w:rPr>
        <w:t xml:space="preserve">Explore generic settings like Endpoints Overview, Data Protection, Transformer Functions, NLU Connectors, Session Management, and Real-Time Translation.</w:t>
      </w:r>
    </w:p>
    <w:p w:rsidR="00000000" w:rsidDel="00000000" w:rsidP="00000000" w:rsidRDefault="00000000" w:rsidRPr="00000000" w14:paraId="00000006">
      <w:pPr>
        <w:pStyle w:val="Heading2"/>
        <w:shd w:fill="ffffff" w:val="clear"/>
        <w:spacing w:after="240" w:lineRule="auto"/>
        <w:rPr/>
      </w:pPr>
      <w:bookmarkStart w:colFirst="0" w:colLast="0" w:name="_mzhvz5ohusma" w:id="2"/>
      <w:bookmarkEnd w:id="2"/>
      <w:r w:rsidDel="00000000" w:rsidR="00000000" w:rsidRPr="00000000">
        <w:rPr>
          <w:rtl w:val="0"/>
        </w:rPr>
        <w:t xml:space="preserve">Specific Endpoint Settings</w:t>
      </w:r>
    </w:p>
    <w:p w:rsidR="00000000" w:rsidDel="00000000" w:rsidP="00000000" w:rsidRDefault="00000000" w:rsidRPr="00000000" w14:paraId="00000007">
      <w:pPr>
        <w:numPr>
          <w:ilvl w:val="0"/>
          <w:numId w:val="1"/>
        </w:numPr>
        <w:shd w:fill="ffffff" w:val="clear"/>
        <w:spacing w:after="0" w:afterAutospacing="0" w:lineRule="auto"/>
        <w:ind w:left="720" w:hanging="360"/>
        <w:rPr>
          <w:color w:val="171d29"/>
          <w:sz w:val="24"/>
          <w:szCs w:val="24"/>
          <w:u w:val="none"/>
        </w:rPr>
      </w:pPr>
      <w:r w:rsidDel="00000000" w:rsidR="00000000" w:rsidRPr="00000000">
        <w:rPr>
          <w:color w:val="171d29"/>
          <w:sz w:val="24"/>
          <w:szCs w:val="24"/>
          <w:rtl w:val="0"/>
        </w:rPr>
        <w:t xml:space="preserve">Voice Gateway Specific Nodes: Built-in nodes for controlling the Voice Gateway.</w:t>
      </w:r>
    </w:p>
    <w:p w:rsidR="00000000" w:rsidDel="00000000" w:rsidP="00000000" w:rsidRDefault="00000000" w:rsidRPr="00000000" w14:paraId="00000008">
      <w:pPr>
        <w:numPr>
          <w:ilvl w:val="0"/>
          <w:numId w:val="1"/>
        </w:numPr>
        <w:shd w:fill="ffffff" w:val="clear"/>
        <w:spacing w:after="0" w:afterAutospacing="0" w:lineRule="auto"/>
        <w:ind w:left="720" w:hanging="360"/>
        <w:rPr>
          <w:color w:val="171d29"/>
          <w:sz w:val="24"/>
          <w:szCs w:val="24"/>
          <w:u w:val="none"/>
        </w:rPr>
      </w:pPr>
      <w:r w:rsidDel="00000000" w:rsidR="00000000" w:rsidRPr="00000000">
        <w:rPr>
          <w:color w:val="171d29"/>
          <w:sz w:val="24"/>
          <w:szCs w:val="24"/>
          <w:rtl w:val="0"/>
        </w:rPr>
        <w:t xml:space="preserve">SIP Headers: Custom headers are accessible in the Input object.</w:t>
      </w:r>
    </w:p>
    <w:p w:rsidR="00000000" w:rsidDel="00000000" w:rsidP="00000000" w:rsidRDefault="00000000" w:rsidRPr="00000000" w14:paraId="00000009">
      <w:pPr>
        <w:numPr>
          <w:ilvl w:val="0"/>
          <w:numId w:val="1"/>
        </w:numPr>
        <w:shd w:fill="ffffff" w:val="clear"/>
        <w:spacing w:after="0" w:afterAutospacing="0" w:lineRule="auto"/>
        <w:ind w:left="720" w:hanging="360"/>
        <w:rPr>
          <w:color w:val="171d29"/>
          <w:sz w:val="24"/>
          <w:szCs w:val="24"/>
          <w:u w:val="none"/>
        </w:rPr>
      </w:pPr>
      <w:r w:rsidDel="00000000" w:rsidR="00000000" w:rsidRPr="00000000">
        <w:rPr>
          <w:color w:val="171d29"/>
          <w:sz w:val="24"/>
          <w:szCs w:val="24"/>
          <w:rtl w:val="0"/>
        </w:rPr>
        <w:t xml:space="preserve">Call Meta Data: Caller information is added to the Input object.</w:t>
      </w:r>
    </w:p>
    <w:p w:rsidR="00000000" w:rsidDel="00000000" w:rsidP="00000000" w:rsidRDefault="00000000" w:rsidRPr="00000000" w14:paraId="0000000A">
      <w:pPr>
        <w:numPr>
          <w:ilvl w:val="0"/>
          <w:numId w:val="1"/>
        </w:numPr>
        <w:shd w:fill="ffffff" w:val="clear"/>
        <w:spacing w:after="240" w:lineRule="auto"/>
        <w:ind w:left="720" w:hanging="360"/>
        <w:rPr>
          <w:color w:val="171d29"/>
          <w:sz w:val="24"/>
          <w:szCs w:val="24"/>
          <w:u w:val="none"/>
        </w:rPr>
      </w:pPr>
      <w:r w:rsidDel="00000000" w:rsidR="00000000" w:rsidRPr="00000000">
        <w:rPr>
          <w:color w:val="171d29"/>
          <w:sz w:val="24"/>
          <w:szCs w:val="24"/>
          <w:rtl w:val="0"/>
        </w:rPr>
        <w:t xml:space="preserve">Speech Provider Adaptations: Different speech providers (e.g., Microsoft Azure vs. Google) require specific settings for speech speed and other parameters.</w:t>
      </w:r>
    </w:p>
    <w:p w:rsidR="00000000" w:rsidDel="00000000" w:rsidP="00000000" w:rsidRDefault="00000000" w:rsidRPr="00000000" w14:paraId="0000000B">
      <w:pPr>
        <w:pStyle w:val="Heading2"/>
        <w:shd w:fill="ffffff" w:val="clear"/>
        <w:spacing w:after="240" w:lineRule="auto"/>
        <w:rPr/>
      </w:pPr>
      <w:bookmarkStart w:colFirst="0" w:colLast="0" w:name="_isfp2epuc408" w:id="3"/>
      <w:bookmarkEnd w:id="3"/>
      <w:r w:rsidDel="00000000" w:rsidR="00000000" w:rsidRPr="00000000">
        <w:rPr>
          <w:rtl w:val="0"/>
        </w:rPr>
        <w:t xml:space="preserve">Call Events</w:t>
      </w:r>
    </w:p>
    <w:p w:rsidR="00000000" w:rsidDel="00000000" w:rsidP="00000000" w:rsidRDefault="00000000" w:rsidRPr="00000000" w14:paraId="0000000C">
      <w:pPr>
        <w:shd w:fill="ffffff" w:val="clear"/>
        <w:spacing w:after="240" w:lineRule="auto"/>
        <w:rPr>
          <w:color w:val="171d29"/>
          <w:sz w:val="24"/>
          <w:szCs w:val="24"/>
        </w:rPr>
      </w:pPr>
      <w:r w:rsidDel="00000000" w:rsidR="00000000" w:rsidRPr="00000000">
        <w:rPr>
          <w:color w:val="171d29"/>
          <w:sz w:val="24"/>
          <w:szCs w:val="24"/>
          <w:rtl w:val="0"/>
        </w:rPr>
        <w:t xml:space="preserve">Configure actions such as injecting text into the flow, executing a flow, or transferring calls based on detected call events.</w:t>
      </w:r>
    </w:p>
    <w:p w:rsidR="00000000" w:rsidDel="00000000" w:rsidP="00000000" w:rsidRDefault="00000000" w:rsidRPr="00000000" w14:paraId="0000000D">
      <w:pPr>
        <w:pStyle w:val="Heading2"/>
        <w:shd w:fill="ffffff" w:val="clear"/>
        <w:spacing w:after="240" w:lineRule="auto"/>
        <w:rPr/>
      </w:pPr>
      <w:bookmarkStart w:colFirst="0" w:colLast="0" w:name="_6j8p1zx5nwmi" w:id="4"/>
      <w:bookmarkEnd w:id="4"/>
      <w:r w:rsidDel="00000000" w:rsidR="00000000" w:rsidRPr="00000000">
        <w:rPr>
          <w:rtl w:val="0"/>
        </w:rPr>
        <w:t xml:space="preserve">Call Failover</w:t>
      </w:r>
    </w:p>
    <w:p w:rsidR="00000000" w:rsidDel="00000000" w:rsidP="00000000" w:rsidRDefault="00000000" w:rsidRPr="00000000" w14:paraId="0000000E">
      <w:pPr>
        <w:shd w:fill="ffffff" w:val="clear"/>
        <w:spacing w:after="240" w:lineRule="auto"/>
        <w:rPr>
          <w:color w:val="171d29"/>
          <w:sz w:val="24"/>
          <w:szCs w:val="24"/>
        </w:rPr>
      </w:pPr>
      <w:r w:rsidDel="00000000" w:rsidR="00000000" w:rsidRPr="00000000">
        <w:rPr>
          <w:color w:val="171d29"/>
          <w:sz w:val="24"/>
          <w:szCs w:val="24"/>
          <w:rtl w:val="0"/>
        </w:rPr>
        <w:t xml:space="preserve">Handles runtime errors by enabling call transfers, with options for refer or dial transfers and settings for caller ID, timeout, and transcription.</w:t>
      </w:r>
    </w:p>
    <w:p w:rsidR="00000000" w:rsidDel="00000000" w:rsidP="00000000" w:rsidRDefault="00000000" w:rsidRPr="00000000" w14:paraId="0000000F">
      <w:pPr>
        <w:pStyle w:val="Heading2"/>
        <w:shd w:fill="ffffff" w:val="clear"/>
        <w:spacing w:after="240" w:lineRule="auto"/>
        <w:rPr/>
      </w:pPr>
      <w:bookmarkStart w:colFirst="0" w:colLast="0" w:name="_opzsu8chdd6k" w:id="5"/>
      <w:bookmarkEnd w:id="5"/>
      <w:r w:rsidDel="00000000" w:rsidR="00000000" w:rsidRPr="00000000">
        <w:rPr>
          <w:rtl w:val="0"/>
        </w:rPr>
        <w:t xml:space="preserve">Handover Settings</w:t>
      </w:r>
    </w:p>
    <w:p w:rsidR="00000000" w:rsidDel="00000000" w:rsidP="00000000" w:rsidRDefault="00000000" w:rsidRPr="00000000" w14:paraId="00000010">
      <w:pPr>
        <w:shd w:fill="ffffff" w:val="clear"/>
        <w:spacing w:after="240" w:lineRule="auto"/>
        <w:rPr/>
      </w:pPr>
      <w:r w:rsidDel="00000000" w:rsidR="00000000" w:rsidRPr="00000000">
        <w:rPr>
          <w:color w:val="171d29"/>
          <w:sz w:val="24"/>
          <w:szCs w:val="24"/>
          <w:rtl w:val="0"/>
        </w:rPr>
        <w:t xml:space="preserve">Utilizes handover providers to transfer calls from AI agents to human agents, converting speech to text and vice versa. Configuration involves using the Handover to Agent Node in your voice flow.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gnigy.com/blog/call-t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