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nt0sy9l7l6zx" w:colFirst="0" w:colLast="0"/>
    <w:bookmarkEnd w:id="0"/>
    <w:p w14:paraId="438D33A2" w14:textId="77777777" w:rsidR="008D3FCC" w:rsidRDefault="00000000">
      <w:pPr>
        <w:pStyle w:val="Heading1"/>
        <w:keepNext w:val="0"/>
        <w:keepLines w:val="0"/>
        <w:shd w:val="clear" w:color="auto" w:fill="3D9FFF"/>
        <w:spacing w:before="0" w:after="300" w:line="280" w:lineRule="auto"/>
        <w:rPr>
          <w:b/>
          <w:color w:val="FFFFFF"/>
          <w:sz w:val="72"/>
          <w:szCs w:val="72"/>
        </w:rPr>
      </w:pPr>
      <w:r>
        <w:fldChar w:fldCharType="begin"/>
      </w:r>
      <w:r>
        <w:instrText>HYPERLINK "https://www.cognigy.com/blog/call-tracing" \h</w:instrText>
      </w:r>
      <w:r>
        <w:fldChar w:fldCharType="separate"/>
      </w:r>
      <w:r>
        <w:rPr>
          <w:b/>
          <w:color w:val="FFFFFF"/>
          <w:sz w:val="72"/>
          <w:szCs w:val="72"/>
        </w:rPr>
        <w:t>Call Tracing: Unlock New Dimensions in VUX Optimization</w:t>
      </w:r>
      <w:r>
        <w:rPr>
          <w:b/>
          <w:color w:val="FFFFFF"/>
          <w:sz w:val="72"/>
          <w:szCs w:val="72"/>
        </w:rPr>
        <w:fldChar w:fldCharType="end"/>
      </w:r>
    </w:p>
    <w:p w14:paraId="1B02A825" w14:textId="77777777" w:rsidR="008D3FCC" w:rsidRDefault="008D3FCC">
      <w:pPr>
        <w:shd w:val="clear" w:color="auto" w:fill="FFFFFF"/>
        <w:spacing w:after="240"/>
        <w:rPr>
          <w:color w:val="171D29"/>
          <w:sz w:val="24"/>
          <w:szCs w:val="24"/>
        </w:rPr>
      </w:pPr>
    </w:p>
    <w:p w14:paraId="4FF94232" w14:textId="77777777" w:rsidR="008D3FCC" w:rsidRDefault="00000000">
      <w:pPr>
        <w:shd w:val="clear" w:color="auto" w:fill="FFFFFF"/>
        <w:spacing w:after="240"/>
        <w:rPr>
          <w:color w:val="171D29"/>
          <w:sz w:val="24"/>
          <w:szCs w:val="24"/>
        </w:rPr>
      </w:pPr>
      <w:r>
        <w:rPr>
          <w:color w:val="171D29"/>
          <w:sz w:val="24"/>
          <w:szCs w:val="24"/>
        </w:rPr>
        <w:t>In the burgeoning field of voice technology, optimizing Voice User Experience (VUX) is a sophisticated endeavor fraught with unique challenges. VUX designers confront intricate variables from timing nuances and intonation accuracy to the unpredictability of human speech and environmental interference.</w:t>
      </w:r>
    </w:p>
    <w:p w14:paraId="286D5F31" w14:textId="77777777" w:rsidR="008D3FCC" w:rsidRDefault="00000000">
      <w:pPr>
        <w:shd w:val="clear" w:color="auto" w:fill="FFFFFF"/>
        <w:spacing w:after="240"/>
        <w:rPr>
          <w:color w:val="171D29"/>
          <w:sz w:val="24"/>
          <w:szCs w:val="24"/>
        </w:rPr>
      </w:pPr>
      <w:r>
        <w:rPr>
          <w:color w:val="171D29"/>
          <w:sz w:val="24"/>
          <w:szCs w:val="24"/>
        </w:rPr>
        <w:t>These factors often present hurdles that can transform an otherwise fluid dialogue into a disjointed exchange. For enterprises aiming to scale and perfect their voice-enabled services, these are not mere technicalities but critical pivots on the customer experience journey.</w:t>
      </w:r>
    </w:p>
    <w:p w14:paraId="06E9AB47" w14:textId="77777777" w:rsidR="008D3FCC" w:rsidRDefault="00000000">
      <w:pPr>
        <w:shd w:val="clear" w:color="auto" w:fill="FFFFFF"/>
        <w:spacing w:after="240"/>
        <w:rPr>
          <w:b/>
          <w:color w:val="171D29"/>
          <w:sz w:val="24"/>
          <w:szCs w:val="24"/>
        </w:rPr>
      </w:pPr>
      <w:r>
        <w:rPr>
          <w:color w:val="171D29"/>
          <w:sz w:val="24"/>
          <w:szCs w:val="24"/>
        </w:rPr>
        <w:t xml:space="preserve">Recognizing this complex landscape, at Cognigy, we’re excited to introduce the ultimate tool for developers and VUX designers in their quest for voice excellence: </w:t>
      </w:r>
      <w:hyperlink r:id="rId5">
        <w:r>
          <w:rPr>
            <w:b/>
            <w:color w:val="1155CC"/>
            <w:sz w:val="24"/>
            <w:szCs w:val="24"/>
            <w:u w:val="single"/>
          </w:rPr>
          <w:t>Call Tracing</w:t>
        </w:r>
      </w:hyperlink>
      <w:r>
        <w:rPr>
          <w:b/>
          <w:color w:val="171D29"/>
          <w:sz w:val="24"/>
          <w:szCs w:val="24"/>
        </w:rPr>
        <w:t>.</w:t>
      </w:r>
    </w:p>
    <w:p w14:paraId="4D5C796A" w14:textId="77777777" w:rsidR="008D3FCC" w:rsidRDefault="00000000">
      <w:pPr>
        <w:pStyle w:val="Heading3"/>
        <w:keepNext w:val="0"/>
        <w:keepLines w:val="0"/>
        <w:shd w:val="clear" w:color="auto" w:fill="FFFFFF"/>
        <w:spacing w:before="0" w:after="300" w:line="319" w:lineRule="auto"/>
        <w:rPr>
          <w:b/>
          <w:color w:val="0B3694"/>
          <w:sz w:val="36"/>
          <w:szCs w:val="36"/>
        </w:rPr>
      </w:pPr>
      <w:bookmarkStart w:id="1" w:name="_pyh5a5hbi74q" w:colFirst="0" w:colLast="0"/>
      <w:bookmarkEnd w:id="1"/>
      <w:r>
        <w:rPr>
          <w:b/>
          <w:color w:val="0B3694"/>
          <w:sz w:val="36"/>
          <w:szCs w:val="36"/>
        </w:rPr>
        <w:t xml:space="preserve">Visualizing the Unseen: How Call Tracing Changes the Game </w:t>
      </w:r>
    </w:p>
    <w:p w14:paraId="6FAAC14E" w14:textId="77777777" w:rsidR="008D3FCC" w:rsidRDefault="00000000">
      <w:pPr>
        <w:shd w:val="clear" w:color="auto" w:fill="FFFFFF"/>
        <w:spacing w:after="240"/>
        <w:rPr>
          <w:color w:val="171D29"/>
          <w:sz w:val="24"/>
          <w:szCs w:val="24"/>
        </w:rPr>
      </w:pPr>
      <w:r>
        <w:rPr>
          <w:color w:val="171D29"/>
          <w:sz w:val="24"/>
          <w:szCs w:val="24"/>
        </w:rPr>
        <w:t>Traditionally, understanding and monitoring voice interaction requires painstaking analysis of transcriptions, user feedback, and basic audio playback. Now, Cognigy’s Call Tracing feature offers an actionable visualization of all activities taking place during the call, such as speech recognition and connections, together with the call recording waveforms. This powerful tool grants VUX designers an unparalleled view of the dynamics of voice interactions.</w:t>
      </w:r>
    </w:p>
    <w:p w14:paraId="04C6B976" w14:textId="77777777" w:rsidR="008D3FCC" w:rsidRDefault="00000000">
      <w:pPr>
        <w:shd w:val="clear" w:color="auto" w:fill="FFFFFF"/>
        <w:spacing w:after="240"/>
        <w:rPr>
          <w:color w:val="171D29"/>
          <w:sz w:val="24"/>
          <w:szCs w:val="24"/>
        </w:rPr>
      </w:pPr>
      <w:r>
        <w:rPr>
          <w:color w:val="171D29"/>
          <w:sz w:val="24"/>
          <w:szCs w:val="24"/>
        </w:rPr>
        <w:t>Event and soundwave visualization provides an analytical perspective that goes beyond the audio, giving professionals the ability to dissect and understand voice experiences at a granular level. It brings critical elements to the forefront that might not be immediately evident in transcriptions or basic audio playback.</w:t>
      </w:r>
    </w:p>
    <w:p w14:paraId="56C59B8A" w14:textId="77777777" w:rsidR="008D3FCC" w:rsidRDefault="00000000">
      <w:pPr>
        <w:shd w:val="clear" w:color="auto" w:fill="FFFFFF"/>
        <w:spacing w:after="240"/>
        <w:rPr>
          <w:color w:val="171D29"/>
          <w:sz w:val="24"/>
          <w:szCs w:val="24"/>
        </w:rPr>
      </w:pPr>
      <w:r>
        <w:rPr>
          <w:noProof/>
          <w:color w:val="171D29"/>
          <w:sz w:val="24"/>
          <w:szCs w:val="24"/>
        </w:rPr>
        <w:lastRenderedPageBreak/>
        <w:drawing>
          <wp:inline distT="114300" distB="114300" distL="114300" distR="114300" wp14:anchorId="7E7604DA" wp14:editId="10A5229F">
            <wp:extent cx="5943600" cy="229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298700"/>
                    </a:xfrm>
                    <a:prstGeom prst="rect">
                      <a:avLst/>
                    </a:prstGeom>
                    <a:ln/>
                  </pic:spPr>
                </pic:pic>
              </a:graphicData>
            </a:graphic>
          </wp:inline>
        </w:drawing>
      </w:r>
    </w:p>
    <w:p w14:paraId="75ECD565" w14:textId="77777777" w:rsidR="008D3FCC" w:rsidRDefault="00000000">
      <w:pPr>
        <w:pStyle w:val="Heading3"/>
        <w:keepNext w:val="0"/>
        <w:keepLines w:val="0"/>
        <w:shd w:val="clear" w:color="auto" w:fill="FFFFFF"/>
        <w:spacing w:before="0" w:after="300" w:line="319" w:lineRule="auto"/>
      </w:pPr>
      <w:bookmarkStart w:id="2" w:name="_rxex4ug1n2yk" w:colFirst="0" w:colLast="0"/>
      <w:bookmarkEnd w:id="2"/>
      <w:r>
        <w:rPr>
          <w:b/>
          <w:color w:val="0B3694"/>
          <w:sz w:val="36"/>
          <w:szCs w:val="36"/>
        </w:rPr>
        <w:t>Key Topics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3442"/>
        <w:gridCol w:w="5918"/>
      </w:tblGrid>
      <w:tr w:rsidR="008D3FCC" w:rsidRPr="00354178" w14:paraId="41BB4214" w14:textId="77777777">
        <w:trPr>
          <w:trHeight w:val="710"/>
        </w:trPr>
        <w:tc>
          <w:tcPr>
            <w:tcW w:w="3442" w:type="dxa"/>
            <w:tcBorders>
              <w:top w:val="single" w:sz="6" w:space="0" w:color="E3E3E3"/>
              <w:left w:val="single" w:sz="6" w:space="0" w:color="E3E3E3"/>
              <w:bottom w:val="single" w:sz="6" w:space="0" w:color="E3E3E3"/>
              <w:right w:val="nil"/>
            </w:tcBorders>
            <w:tcMar>
              <w:top w:w="100" w:type="dxa"/>
              <w:left w:w="100" w:type="dxa"/>
              <w:bottom w:w="100" w:type="dxa"/>
              <w:right w:w="100" w:type="dxa"/>
            </w:tcMar>
            <w:vAlign w:val="bottom"/>
          </w:tcPr>
          <w:p w14:paraId="19C382D9" w14:textId="77777777" w:rsidR="008D3FCC" w:rsidRPr="00354178" w:rsidRDefault="00000000">
            <w:pPr>
              <w:shd w:val="clear" w:color="auto" w:fill="FFFFFF"/>
              <w:spacing w:after="240" w:line="411" w:lineRule="auto"/>
              <w:jc w:val="center"/>
              <w:rPr>
                <w:rFonts w:eastAsia="Roboto"/>
                <w:color w:val="0D0D0D"/>
                <w:sz w:val="24"/>
                <w:szCs w:val="24"/>
              </w:rPr>
            </w:pPr>
            <w:r w:rsidRPr="00354178">
              <w:rPr>
                <w:rFonts w:eastAsia="Roboto"/>
                <w:b/>
                <w:color w:val="0D0D0D"/>
                <w:sz w:val="24"/>
                <w:szCs w:val="24"/>
              </w:rPr>
              <w:t>Topic</w:t>
            </w:r>
          </w:p>
        </w:tc>
        <w:tc>
          <w:tcPr>
            <w:tcW w:w="5917" w:type="dxa"/>
            <w:tcBorders>
              <w:top w:val="single" w:sz="6" w:space="0" w:color="E3E3E3"/>
              <w:left w:val="single" w:sz="6" w:space="0" w:color="E3E3E3"/>
              <w:bottom w:val="single" w:sz="6" w:space="0" w:color="E3E3E3"/>
              <w:right w:val="single" w:sz="6" w:space="0" w:color="E3E3E3"/>
            </w:tcBorders>
            <w:tcMar>
              <w:top w:w="100" w:type="dxa"/>
              <w:left w:w="100" w:type="dxa"/>
              <w:bottom w:w="100" w:type="dxa"/>
              <w:right w:w="100" w:type="dxa"/>
            </w:tcMar>
            <w:vAlign w:val="bottom"/>
          </w:tcPr>
          <w:p w14:paraId="7C7F7BBF" w14:textId="77777777" w:rsidR="008D3FCC" w:rsidRPr="00354178" w:rsidRDefault="00000000">
            <w:pPr>
              <w:shd w:val="clear" w:color="auto" w:fill="FFFFFF"/>
              <w:spacing w:after="240" w:line="411" w:lineRule="auto"/>
              <w:jc w:val="center"/>
              <w:rPr>
                <w:rFonts w:eastAsia="Roboto"/>
                <w:color w:val="0D0D0D"/>
                <w:sz w:val="24"/>
                <w:szCs w:val="24"/>
              </w:rPr>
            </w:pPr>
            <w:r w:rsidRPr="00354178">
              <w:rPr>
                <w:rFonts w:eastAsia="Roboto"/>
                <w:b/>
                <w:color w:val="0D0D0D"/>
                <w:sz w:val="24"/>
                <w:szCs w:val="24"/>
              </w:rPr>
              <w:t>Description</w:t>
            </w:r>
          </w:p>
        </w:tc>
      </w:tr>
      <w:tr w:rsidR="008D3FCC" w:rsidRPr="00354178" w14:paraId="27E86AB0" w14:textId="77777777">
        <w:trPr>
          <w:trHeight w:val="1055"/>
        </w:trPr>
        <w:tc>
          <w:tcPr>
            <w:tcW w:w="3442"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47E2BE20" w14:textId="77777777" w:rsidR="008D3FCC" w:rsidRPr="00354178" w:rsidRDefault="00000000" w:rsidP="00354178">
            <w:pPr>
              <w:shd w:val="clear" w:color="auto" w:fill="FFFFFF"/>
              <w:spacing w:line="411" w:lineRule="auto"/>
              <w:rPr>
                <w:rFonts w:eastAsia="Roboto"/>
                <w:color w:val="0D0D0D"/>
                <w:sz w:val="24"/>
                <w:szCs w:val="24"/>
              </w:rPr>
            </w:pPr>
            <w:r w:rsidRPr="00354178">
              <w:rPr>
                <w:rFonts w:eastAsia="Roboto"/>
                <w:color w:val="0D0D0D"/>
                <w:sz w:val="24"/>
                <w:szCs w:val="24"/>
              </w:rPr>
              <w:t>Optimizing Response Timings</w:t>
            </w:r>
          </w:p>
        </w:tc>
        <w:tc>
          <w:tcPr>
            <w:tcW w:w="5917"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0A4A8B1" w14:textId="77777777" w:rsidR="008D3FCC" w:rsidRPr="00354178" w:rsidRDefault="00000000" w:rsidP="00354178">
            <w:pPr>
              <w:shd w:val="clear" w:color="auto" w:fill="FFFFFF"/>
              <w:spacing w:line="411" w:lineRule="auto"/>
              <w:rPr>
                <w:rFonts w:eastAsia="Roboto"/>
                <w:color w:val="0D0D0D"/>
                <w:sz w:val="24"/>
                <w:szCs w:val="24"/>
              </w:rPr>
            </w:pPr>
            <w:r w:rsidRPr="00354178">
              <w:rPr>
                <w:rFonts w:eastAsia="Roboto"/>
                <w:color w:val="0D0D0D"/>
                <w:sz w:val="24"/>
                <w:szCs w:val="24"/>
              </w:rPr>
              <w:t>Identify silence and pauses; analyze call duration; uncover speech recognition latency.</w:t>
            </w:r>
          </w:p>
        </w:tc>
      </w:tr>
      <w:tr w:rsidR="008D3FCC" w:rsidRPr="00354178" w14:paraId="24E20B33" w14:textId="77777777">
        <w:trPr>
          <w:trHeight w:val="1055"/>
        </w:trPr>
        <w:tc>
          <w:tcPr>
            <w:tcW w:w="3442"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1A51BA5B" w14:textId="77777777" w:rsidR="008D3FCC" w:rsidRPr="00354178" w:rsidRDefault="00000000" w:rsidP="00354178">
            <w:pPr>
              <w:shd w:val="clear" w:color="auto" w:fill="FFFFFF"/>
              <w:spacing w:line="411" w:lineRule="auto"/>
              <w:rPr>
                <w:rFonts w:eastAsia="Roboto"/>
                <w:color w:val="0D0D0D"/>
                <w:sz w:val="24"/>
                <w:szCs w:val="24"/>
              </w:rPr>
            </w:pPr>
            <w:r w:rsidRPr="00354178">
              <w:rPr>
                <w:rFonts w:eastAsia="Roboto"/>
                <w:color w:val="0D0D0D"/>
                <w:sz w:val="24"/>
                <w:szCs w:val="24"/>
              </w:rPr>
              <w:t>Detecting and Resolving Overlapping Speech</w:t>
            </w:r>
          </w:p>
        </w:tc>
        <w:tc>
          <w:tcPr>
            <w:tcW w:w="5917"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4C66F56C" w14:textId="77777777" w:rsidR="008D3FCC" w:rsidRPr="00354178" w:rsidRDefault="00000000" w:rsidP="00354178">
            <w:pPr>
              <w:shd w:val="clear" w:color="auto" w:fill="FFFFFF"/>
              <w:spacing w:line="411" w:lineRule="auto"/>
              <w:rPr>
                <w:rFonts w:eastAsia="Roboto"/>
                <w:color w:val="0D0D0D"/>
                <w:sz w:val="24"/>
                <w:szCs w:val="24"/>
              </w:rPr>
            </w:pPr>
            <w:r w:rsidRPr="00354178">
              <w:rPr>
                <w:rFonts w:eastAsia="Roboto"/>
                <w:color w:val="0D0D0D"/>
                <w:sz w:val="24"/>
                <w:szCs w:val="24"/>
              </w:rPr>
              <w:t>Resolve speech overlaps; fine-tune settings for seamless interaction.</w:t>
            </w:r>
          </w:p>
        </w:tc>
      </w:tr>
      <w:tr w:rsidR="008D3FCC" w:rsidRPr="00354178" w14:paraId="0997F904" w14:textId="77777777">
        <w:trPr>
          <w:trHeight w:val="695"/>
        </w:trPr>
        <w:tc>
          <w:tcPr>
            <w:tcW w:w="3442"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0ED46AA3" w14:textId="77777777" w:rsidR="008D3FCC" w:rsidRPr="00354178" w:rsidRDefault="00000000" w:rsidP="00354178">
            <w:pPr>
              <w:shd w:val="clear" w:color="auto" w:fill="FFFFFF"/>
              <w:spacing w:line="411" w:lineRule="auto"/>
              <w:rPr>
                <w:rFonts w:eastAsia="Roboto"/>
                <w:color w:val="0D0D0D"/>
                <w:sz w:val="24"/>
                <w:szCs w:val="24"/>
              </w:rPr>
            </w:pPr>
            <w:r w:rsidRPr="00354178">
              <w:rPr>
                <w:rFonts w:eastAsia="Roboto"/>
                <w:color w:val="0D0D0D"/>
                <w:sz w:val="24"/>
                <w:szCs w:val="24"/>
              </w:rPr>
              <w:t>Monitoring Speech Quality</w:t>
            </w:r>
          </w:p>
        </w:tc>
        <w:tc>
          <w:tcPr>
            <w:tcW w:w="5917"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060BB128" w14:textId="77777777" w:rsidR="008D3FCC" w:rsidRPr="00354178" w:rsidRDefault="00000000" w:rsidP="00354178">
            <w:pPr>
              <w:shd w:val="clear" w:color="auto" w:fill="FFFFFF"/>
              <w:spacing w:line="411" w:lineRule="auto"/>
              <w:rPr>
                <w:rFonts w:eastAsia="Roboto"/>
                <w:color w:val="0D0D0D"/>
                <w:sz w:val="24"/>
                <w:szCs w:val="24"/>
              </w:rPr>
            </w:pPr>
            <w:r w:rsidRPr="00354178">
              <w:rPr>
                <w:rFonts w:eastAsia="Roboto"/>
                <w:color w:val="0D0D0D"/>
                <w:sz w:val="24"/>
                <w:szCs w:val="24"/>
              </w:rPr>
              <w:t>Highlight inconsistencies; troubleshoot for service quality.</w:t>
            </w:r>
          </w:p>
        </w:tc>
      </w:tr>
      <w:tr w:rsidR="008D3FCC" w:rsidRPr="00354178" w14:paraId="042BB66C" w14:textId="77777777">
        <w:trPr>
          <w:trHeight w:val="1055"/>
        </w:trPr>
        <w:tc>
          <w:tcPr>
            <w:tcW w:w="3442" w:type="dxa"/>
            <w:tcBorders>
              <w:top w:val="nil"/>
              <w:left w:val="single" w:sz="6" w:space="0" w:color="E3E3E3"/>
              <w:bottom w:val="single" w:sz="6" w:space="0" w:color="E3E3E3"/>
              <w:right w:val="nil"/>
            </w:tcBorders>
            <w:tcMar>
              <w:top w:w="100" w:type="dxa"/>
              <w:left w:w="100" w:type="dxa"/>
              <w:bottom w:w="100" w:type="dxa"/>
              <w:right w:w="100" w:type="dxa"/>
            </w:tcMar>
            <w:vAlign w:val="center"/>
          </w:tcPr>
          <w:p w14:paraId="2638CBBF" w14:textId="77777777" w:rsidR="008D3FCC" w:rsidRPr="00354178" w:rsidRDefault="00000000" w:rsidP="00354178">
            <w:pPr>
              <w:shd w:val="clear" w:color="auto" w:fill="FFFFFF"/>
              <w:spacing w:line="411" w:lineRule="auto"/>
              <w:rPr>
                <w:rFonts w:eastAsia="Roboto"/>
                <w:color w:val="0D0D0D"/>
                <w:sz w:val="24"/>
                <w:szCs w:val="24"/>
              </w:rPr>
            </w:pPr>
            <w:r w:rsidRPr="00354178">
              <w:rPr>
                <w:rFonts w:eastAsia="Roboto"/>
                <w:color w:val="0D0D0D"/>
                <w:sz w:val="24"/>
                <w:szCs w:val="24"/>
              </w:rPr>
              <w:t>Fine-tuning the ASR Model</w:t>
            </w:r>
          </w:p>
        </w:tc>
        <w:tc>
          <w:tcPr>
            <w:tcW w:w="5917" w:type="dxa"/>
            <w:tcBorders>
              <w:top w:val="nil"/>
              <w:left w:val="single" w:sz="6" w:space="0" w:color="E3E3E3"/>
              <w:bottom w:val="single" w:sz="6" w:space="0" w:color="E3E3E3"/>
              <w:right w:val="single" w:sz="6" w:space="0" w:color="E3E3E3"/>
            </w:tcBorders>
            <w:tcMar>
              <w:top w:w="100" w:type="dxa"/>
              <w:left w:w="100" w:type="dxa"/>
              <w:bottom w:w="100" w:type="dxa"/>
              <w:right w:w="100" w:type="dxa"/>
            </w:tcMar>
            <w:vAlign w:val="center"/>
          </w:tcPr>
          <w:p w14:paraId="6BED2830" w14:textId="77777777" w:rsidR="008D3FCC" w:rsidRPr="00354178" w:rsidRDefault="00000000" w:rsidP="00354178">
            <w:pPr>
              <w:shd w:val="clear" w:color="auto" w:fill="FFFFFF"/>
              <w:spacing w:line="411" w:lineRule="auto"/>
              <w:rPr>
                <w:rFonts w:eastAsia="Roboto"/>
                <w:color w:val="0D0D0D"/>
                <w:sz w:val="24"/>
                <w:szCs w:val="24"/>
              </w:rPr>
            </w:pPr>
            <w:r w:rsidRPr="00354178">
              <w:rPr>
                <w:rFonts w:eastAsia="Roboto"/>
                <w:color w:val="0D0D0D"/>
                <w:sz w:val="24"/>
                <w:szCs w:val="24"/>
              </w:rPr>
              <w:t>Optimize speech recognition models; enhance recognition accuracy.</w:t>
            </w:r>
          </w:p>
        </w:tc>
      </w:tr>
    </w:tbl>
    <w:p w14:paraId="1C01FFD0" w14:textId="77777777" w:rsidR="008D3FCC" w:rsidRPr="00354178" w:rsidRDefault="00000000">
      <w:pPr>
        <w:pStyle w:val="Heading4"/>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color w:val="0D0D0D"/>
        </w:rPr>
      </w:pPr>
      <w:bookmarkStart w:id="3" w:name="_yj5lidd583nx" w:colFirst="0" w:colLast="0"/>
      <w:bookmarkEnd w:id="3"/>
      <w:r w:rsidRPr="00354178">
        <w:rPr>
          <w:b/>
          <w:color w:val="0D0D0D"/>
        </w:rPr>
        <w:t>Conclusion</w:t>
      </w:r>
    </w:p>
    <w:p w14:paraId="13BF9958" w14:textId="77777777" w:rsidR="008D3FCC" w:rsidRPr="00354178"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sz w:val="24"/>
          <w:szCs w:val="24"/>
        </w:rPr>
      </w:pPr>
      <w:r w:rsidRPr="00354178">
        <w:rPr>
          <w:rFonts w:eastAsia="Roboto"/>
          <w:color w:val="0D0D0D"/>
          <w:sz w:val="24"/>
          <w:szCs w:val="24"/>
        </w:rPr>
        <w:t>Cognigy’s Call Tracing uncovers nuanced expressions, crucial for enhancing user experiences.</w:t>
      </w:r>
    </w:p>
    <w:p w14:paraId="6933ACB8" w14:textId="0D8CB0CB" w:rsidR="008D3FCC" w:rsidRPr="00354178" w:rsidRDefault="00000000" w:rsidP="00354178">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rPr>
          <w:sz w:val="24"/>
          <w:szCs w:val="24"/>
        </w:rPr>
      </w:pPr>
      <w:r w:rsidRPr="00354178">
        <w:rPr>
          <w:rFonts w:eastAsia="Roboto"/>
          <w:color w:val="0D0D0D"/>
          <w:sz w:val="24"/>
          <w:szCs w:val="24"/>
        </w:rPr>
        <w:t xml:space="preserve">Explore our documentation for insights on the </w:t>
      </w:r>
      <w:hyperlink r:id="rId7">
        <w:r w:rsidRPr="00354178">
          <w:rPr>
            <w:rFonts w:eastAsia="Roboto"/>
            <w:color w:val="1155CC"/>
            <w:sz w:val="24"/>
            <w:szCs w:val="24"/>
            <w:u w:val="single"/>
          </w:rPr>
          <w:t>Voice Gateway Self-Service Portal</w:t>
        </w:r>
      </w:hyperlink>
      <w:r w:rsidRPr="00354178">
        <w:rPr>
          <w:rFonts w:eastAsia="Roboto"/>
          <w:color w:val="0D0D0D"/>
          <w:sz w:val="24"/>
          <w:szCs w:val="24"/>
        </w:rPr>
        <w:t xml:space="preserve"> and </w:t>
      </w:r>
      <w:hyperlink r:id="rId8" w:anchor="call-tracing">
        <w:r w:rsidRPr="00354178">
          <w:rPr>
            <w:rFonts w:eastAsia="Roboto"/>
            <w:color w:val="1155CC"/>
            <w:sz w:val="24"/>
            <w:szCs w:val="24"/>
            <w:u w:val="single"/>
          </w:rPr>
          <w:t>Call Tracing</w:t>
        </w:r>
      </w:hyperlink>
      <w:r w:rsidRPr="00354178">
        <w:rPr>
          <w:rFonts w:eastAsia="Roboto"/>
          <w:color w:val="0D0D0D"/>
          <w:sz w:val="24"/>
          <w:szCs w:val="24"/>
        </w:rPr>
        <w:t>.</w:t>
      </w:r>
    </w:p>
    <w:sectPr w:rsidR="008D3FCC" w:rsidRPr="003541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646EE"/>
    <w:multiLevelType w:val="multilevel"/>
    <w:tmpl w:val="D5E43AD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4695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FCC"/>
    <w:rsid w:val="00354178"/>
    <w:rsid w:val="00533A59"/>
    <w:rsid w:val="008D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5ED518"/>
  <w15:docId w15:val="{4766EA4F-2961-485B-AE0F-F7881007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cognigy.com/voicegateway/webapp/recent-calls/" TargetMode="External"/><Relationship Id="rId3" Type="http://schemas.openxmlformats.org/officeDocument/2006/relationships/settings" Target="settings.xml"/><Relationship Id="rId7" Type="http://schemas.openxmlformats.org/officeDocument/2006/relationships/hyperlink" Target="https://docs.cognigy.com/voicegateway/webapp/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all_trac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1984</Characters>
  <Application>Microsoft Office Word</Application>
  <DocSecurity>0</DocSecurity>
  <Lines>48</Lines>
  <Paragraphs>21</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Baskakova</dc:creator>
  <cp:lastModifiedBy>Elena Baskakova</cp:lastModifiedBy>
  <cp:revision>2</cp:revision>
  <dcterms:created xsi:type="dcterms:W3CDTF">2024-03-06T08:47:00Z</dcterms:created>
  <dcterms:modified xsi:type="dcterms:W3CDTF">2024-03-06T08:47:00Z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12bae32dbe5d03e9e7600b110264bd14bdfa2d59d4a3525b58b53c5dde64f1bf</vt:lpwstr>
  </property>
  <property fmtid="{D5CDD505-2E9C-101B-9397-08002B2CF9AE}" pid="3" name="MSIP_Label_1827ac4c-c0c7-470d-90af-5f343cc1daa1_Enabled">
    <vt:lpwstr>true</vt:lpwstr>
  </property>
  <property fmtid="{D5CDD505-2E9C-101B-9397-08002B2CF9AE}" pid="4" name="MSIP_Label_1827ac4c-c0c7-470d-90af-5f343cc1daa1_SetDate">
    <vt:lpwstr>2024-03-06T08:42:18Z</vt:lpwstr>
  </property>
  <property fmtid="{D5CDD505-2E9C-101B-9397-08002B2CF9AE}" pid="5" name="MSIP_Label_1827ac4c-c0c7-470d-90af-5f343cc1daa1_Method">
    <vt:lpwstr>Standard</vt:lpwstr>
  </property>
  <property fmtid="{D5CDD505-2E9C-101B-9397-08002B2CF9AE}" pid="6" name="MSIP_Label_1827ac4c-c0c7-470d-90af-5f343cc1daa1_Name">
    <vt:lpwstr>defa4170-0d19-0005-0004-bc88714345d2</vt:lpwstr>
  </property>
  <property fmtid="{D5CDD505-2E9C-101B-9397-08002B2CF9AE}" pid="7" name="MSIP_Label_1827ac4c-c0c7-470d-90af-5f343cc1daa1_SiteId">
    <vt:lpwstr>4a7853bd-0ffb-40ff-904c-b20996f4be78</vt:lpwstr>
  </property>
  <property fmtid="{D5CDD505-2E9C-101B-9397-08002B2CF9AE}" pid="8" name="MSIP_Label_1827ac4c-c0c7-470d-90af-5f343cc1daa1_ActionId">
    <vt:lpwstr>f7540193-6a39-4c01-97a5-812cdeb98221</vt:lpwstr>
  </property>
  <property fmtid="{D5CDD505-2E9C-101B-9397-08002B2CF9AE}" pid="9" name="MSIP_Label_1827ac4c-c0c7-470d-90af-5f343cc1daa1_ContentBits">
    <vt:lpwstr>0</vt:lpwstr>
  </property>
</Properties>
</file>