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t>Quarterly Sales Report</w:t>
      </w:r>
    </w:p>
    <w:p>
      <w:r>
        <w:rPr/>
        <w:t>This report summarises sales results for the third quarter. Figures are in thousands of euros unless noted otherwise, and cells left empty mean that no data was reported for that period.</w:t>
      </w:r>
    </w:p>
    <w:p>
      <w:pPr>
        <w:pStyle w:val="Heading2"/>
      </w:pPr>
      <w:r>
        <w:rPr/>
        <w:t>Revenue by region</w:t>
      </w:r>
    </w:p>
    <w:p>
      <w:r>
        <w:rPr/>
        <w:t>Revenue grew in most regions, with the strongest increase recorded in the Nordics. Southern Europe was flat while one new market has not yet reported figures.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Region</w:t>
            </w:r>
          </w:p>
        </w:tc>
        <w:tc>
          <w:tcPr>
            <w:tcW w:type="dxa" w:w="1728"/>
          </w:tcPr>
          <w:p>
            <w:r>
              <w:rPr>
                <w:b/>
              </w:rPr>
              <w:t>Q1</w:t>
            </w:r>
          </w:p>
        </w:tc>
        <w:tc>
          <w:tcPr>
            <w:tcW w:type="dxa" w:w="1728"/>
          </w:tcPr>
          <w:p>
            <w:r>
              <w:rPr>
                <w:b/>
              </w:rPr>
              <w:t>Q2</w:t>
            </w:r>
          </w:p>
        </w:tc>
        <w:tc>
          <w:tcPr>
            <w:tcW w:type="dxa" w:w="1728"/>
          </w:tcPr>
          <w:p>
            <w:r>
              <w:rPr>
                <w:b/>
              </w:rPr>
              <w:t>Q3</w:t>
            </w:r>
          </w:p>
        </w:tc>
        <w:tc>
          <w:tcPr>
            <w:tcW w:type="dxa" w:w="1728"/>
          </w:tcPr>
          <w:p>
            <w:r>
              <w:rPr>
                <w:b/>
              </w:rPr>
              <w:t>Change</w:t>
            </w:r>
          </w:p>
        </w:tc>
      </w:tr>
      <w:tr>
        <w:tc>
          <w:tcPr>
            <w:tcW w:type="dxa" w:w="1728"/>
          </w:tcPr>
          <w:p>
            <w:r>
              <w:rPr/>
              <w:t>Nordics</w:t>
            </w:r>
          </w:p>
        </w:tc>
        <w:tc>
          <w:tcPr>
            <w:tcW w:type="dxa" w:w="1728"/>
          </w:tcPr>
          <w:p>
            <w:r>
              <w:rPr/>
              <w:t>1250</w:t>
            </w:r>
          </w:p>
        </w:tc>
        <w:tc>
          <w:tcPr>
            <w:tcW w:type="dxa" w:w="1728"/>
          </w:tcPr>
          <w:p>
            <w:r>
              <w:rPr/>
              <w:t>1410</w:t>
            </w:r>
          </w:p>
        </w:tc>
        <w:tc>
          <w:tcPr>
            <w:tcW w:type="dxa" w:w="1728"/>
          </w:tcPr>
          <w:p>
            <w:r>
              <w:rPr/>
              <w:t>1788</w:t>
            </w:r>
          </w:p>
        </w:tc>
        <w:tc>
          <w:tcPr>
            <w:tcW w:type="dxa" w:w="1728"/>
          </w:tcPr>
          <w:p>
            <w:r>
              <w:rPr/>
              <w:t>26.8%</w:t>
            </w:r>
          </w:p>
        </w:tc>
      </w:tr>
      <w:tr>
        <w:tc>
          <w:tcPr>
            <w:tcW w:type="dxa" w:w="1728"/>
          </w:tcPr>
          <w:p>
            <w:r>
              <w:rPr/>
              <w:t>Benelux</w:t>
            </w:r>
          </w:p>
        </w:tc>
        <w:tc>
          <w:tcPr>
            <w:tcW w:type="dxa" w:w="1728"/>
          </w:tcPr>
          <w:p>
            <w:r>
              <w:rPr/>
              <w:t>980</w:t>
            </w:r>
          </w:p>
        </w:tc>
        <w:tc>
          <w:tcPr>
            <w:tcW w:type="dxa" w:w="1728"/>
          </w:tcPr>
          <w:p>
            <w:r>
              <w:rPr/>
              <w:t>1015</w:t>
            </w:r>
          </w:p>
        </w:tc>
        <w:tc>
          <w:tcPr>
            <w:tcW w:type="dxa" w:w="1728"/>
          </w:tcPr>
          <w:p>
            <w:r>
              <w:rPr/>
              <w:t>1102</w:t>
            </w:r>
          </w:p>
        </w:tc>
        <w:tc>
          <w:tcPr>
            <w:tcW w:type="dxa" w:w="1728"/>
          </w:tcPr>
          <w:p>
            <w:r>
              <w:rPr/>
              <w:t>8.6%</w:t>
            </w:r>
          </w:p>
        </w:tc>
      </w:tr>
      <w:tr>
        <w:tc>
          <w:tcPr>
            <w:tcW w:type="dxa" w:w="1728"/>
          </w:tcPr>
          <w:p>
            <w:r>
              <w:rPr/>
              <w:t>Southern Europe</w:t>
            </w:r>
          </w:p>
        </w:tc>
        <w:tc>
          <w:tcPr>
            <w:tcW w:type="dxa" w:w="1728"/>
          </w:tcPr>
          <w:p>
            <w:r>
              <w:rPr/>
              <w:t>1430</w:t>
            </w:r>
          </w:p>
        </w:tc>
        <w:tc>
          <w:tcPr>
            <w:tcW w:type="dxa" w:w="1728"/>
          </w:tcPr>
          <w:p>
            <w:r>
              <w:rPr/>
              <w:t>1429</w:t>
            </w:r>
          </w:p>
        </w:tc>
        <w:tc>
          <w:tcPr>
            <w:tcW w:type="dxa" w:w="1728"/>
          </w:tcPr>
          <w:p>
            <w:r>
              <w:rPr/>
              <w:t>1431</w:t>
            </w:r>
          </w:p>
        </w:tc>
        <w:tc>
          <w:tcPr>
            <w:tcW w:type="dxa" w:w="1728"/>
          </w:tcPr>
          <w:p>
            <w:r>
              <w:rPr/>
              <w:t>0.1%</w:t>
            </w:r>
          </w:p>
        </w:tc>
      </w:tr>
      <w:tr>
        <w:tc>
          <w:tcPr>
            <w:tcW w:type="dxa" w:w="1728"/>
          </w:tcPr>
          <w:p>
            <w:r>
              <w:rPr/>
              <w:t>Eastern Europe</w:t>
            </w:r>
          </w:p>
        </w:tc>
        <w:tc>
          <w:tcPr>
            <w:tcW w:type="dxa" w:w="1728"/>
          </w:tcPr>
          <w:p>
            <w:r>
              <w:rPr/>
              <w:t>410</w:t>
            </w:r>
          </w:p>
        </w:tc>
        <w:tc>
          <w:tcPr>
            <w:tcW w:type="dxa" w:w="1728"/>
          </w:tcPr>
          <w:p>
            <w:r>
              <w:rPr/>
              <w:t>466</w:t>
            </w:r>
          </w:p>
        </w:tc>
        <w:tc>
          <w:tcPr>
            <w:tcW w:type="dxa" w:w="1728"/>
          </w:tcPr>
          <w:p/>
        </w:tc>
        <w:tc>
          <w:tcPr>
            <w:tcW w:type="dxa" w:w="1728"/>
          </w:tcPr>
          <w:p/>
        </w:tc>
      </w:tr>
      <w:tr>
        <w:tc>
          <w:tcPr>
            <w:tcW w:type="dxa" w:w="1728"/>
          </w:tcPr>
          <w:p>
            <w:r>
              <w:rPr/>
              <w:t>Iberia</w:t>
            </w:r>
          </w:p>
        </w:tc>
        <w:tc>
          <w:tcPr>
            <w:tcW w:type="dxa" w:w="1728"/>
          </w:tcPr>
          <w:p/>
        </w:tc>
        <w:tc>
          <w:tcPr>
            <w:tcW w:type="dxa" w:w="1728"/>
          </w:tcPr>
          <w:p>
            <w:r>
              <w:rPr/>
              <w:t>120</w:t>
            </w:r>
          </w:p>
        </w:tc>
        <w:tc>
          <w:tcPr>
            <w:tcW w:type="dxa" w:w="1728"/>
          </w:tcPr>
          <w:p>
            <w:r>
              <w:rPr/>
              <w:t>244</w:t>
            </w:r>
          </w:p>
        </w:tc>
        <w:tc>
          <w:tcPr>
            <w:tcW w:type="dxa" w:w="1728"/>
          </w:tcPr>
          <w:p>
            <w:r>
              <w:rPr/>
              <w:t>103.3%</w:t>
            </w:r>
          </w:p>
        </w:tc>
      </w:tr>
    </w:tbl>
    <w:p/>
    <w:p>
      <w:pPr>
        <w:pStyle w:val="Heading2"/>
      </w:pPr>
      <w:r>
        <w:rPr/>
        <w:t>Product lines</w:t>
      </w:r>
    </w:p>
    <w:p>
      <w:r>
        <w:rPr/>
        <w:t>Subscriptions remain the largest line. Hardware revenue fell because of a supply shortage that is expected to ease next quarter.</w:t>
      </w:r>
    </w:p>
    <w:p>
      <w:pPr>
        <w:pStyle w:val="Heading3"/>
      </w:pPr>
      <w:r>
        <w:rPr/>
        <w:t>Subscriptions and hardware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Product</w:t>
            </w:r>
          </w:p>
        </w:tc>
        <w:tc>
          <w:tcPr>
            <w:tcW w:type="dxa" w:w="2160"/>
          </w:tcPr>
          <w:p>
            <w:r>
              <w:rPr>
                <w:b/>
              </w:rPr>
              <w:t>Units</w:t>
            </w:r>
          </w:p>
        </w:tc>
        <w:tc>
          <w:tcPr>
            <w:tcW w:type="dxa" w:w="2160"/>
          </w:tcPr>
          <w:p>
            <w:r>
              <w:rPr>
                <w:b/>
              </w:rPr>
              <w:t>Price</w:t>
            </w:r>
          </w:p>
        </w:tc>
        <w:tc>
          <w:tcPr>
            <w:tcW w:type="dxa" w:w="2160"/>
          </w:tcPr>
          <w:p>
            <w:r>
              <w:rPr>
                <w:b/>
              </w:rPr>
              <w:t>Revenue</w:t>
            </w:r>
          </w:p>
        </w:tc>
      </w:tr>
      <w:tr>
        <w:tc>
          <w:tcPr>
            <w:tcW w:type="dxa" w:w="2160"/>
          </w:tcPr>
          <w:p>
            <w:r>
              <w:rPr/>
              <w:t>Basic plan</w:t>
            </w:r>
          </w:p>
        </w:tc>
        <w:tc>
          <w:tcPr>
            <w:tcW w:type="dxa" w:w="2160"/>
          </w:tcPr>
          <w:p>
            <w:r>
              <w:rPr/>
              <w:t>4210</w:t>
            </w:r>
          </w:p>
        </w:tc>
        <w:tc>
          <w:tcPr>
            <w:tcW w:type="dxa" w:w="2160"/>
          </w:tcPr>
          <w:p>
            <w:r>
              <w:rPr/>
              <w:t>9.50</w:t>
            </w:r>
          </w:p>
        </w:tc>
        <w:tc>
          <w:tcPr>
            <w:tcW w:type="dxa" w:w="2160"/>
          </w:tcPr>
          <w:p>
            <w:r>
              <w:rPr/>
              <w:t>39995</w:t>
            </w:r>
          </w:p>
        </w:tc>
      </w:tr>
      <w:tr>
        <w:tc>
          <w:tcPr>
            <w:tcW w:type="dxa" w:w="2160"/>
          </w:tcPr>
          <w:p>
            <w:r>
              <w:rPr/>
              <w:t>Team plan</w:t>
            </w:r>
          </w:p>
        </w:tc>
        <w:tc>
          <w:tcPr>
            <w:tcW w:type="dxa" w:w="2160"/>
          </w:tcPr>
          <w:p>
            <w:r>
              <w:rPr/>
              <w:t>1830</w:t>
            </w:r>
          </w:p>
        </w:tc>
        <w:tc>
          <w:tcPr>
            <w:tcW w:type="dxa" w:w="2160"/>
          </w:tcPr>
          <w:p>
            <w:r>
              <w:rPr/>
              <w:t>24.00</w:t>
            </w:r>
          </w:p>
        </w:tc>
        <w:tc>
          <w:tcPr>
            <w:tcW w:type="dxa" w:w="2160"/>
          </w:tcPr>
          <w:p>
            <w:r>
              <w:rPr/>
              <w:t>43920</w:t>
            </w:r>
          </w:p>
        </w:tc>
      </w:tr>
      <w:tr>
        <w:tc>
          <w:tcPr>
            <w:tcW w:type="dxa" w:w="2160"/>
          </w:tcPr>
          <w:p>
            <w:r>
              <w:rPr/>
              <w:t>Enterprise plan</w:t>
            </w:r>
          </w:p>
        </w:tc>
        <w:tc>
          <w:tcPr>
            <w:tcW w:type="dxa" w:w="2160"/>
          </w:tcPr>
          <w:p>
            <w:r>
              <w:rPr/>
              <w:t>212</w:t>
            </w:r>
          </w:p>
        </w:tc>
        <w:tc>
          <w:tcPr>
            <w:tcW w:type="dxa" w:w="2160"/>
          </w:tcPr>
          <w:p>
            <w:r>
              <w:rPr/>
              <w:t>310.75</w:t>
            </w:r>
          </w:p>
        </w:tc>
        <w:tc>
          <w:tcPr>
            <w:tcW w:type="dxa" w:w="2160"/>
          </w:tcPr>
          <w:p>
            <w:r>
              <w:rPr/>
              <w:t>65879</w:t>
            </w:r>
          </w:p>
        </w:tc>
      </w:tr>
      <w:tr>
        <w:tc>
          <w:tcPr>
            <w:tcW w:type="dxa" w:w="2160"/>
          </w:tcPr>
          <w:p>
            <w:r>
              <w:rPr/>
              <w:t>Starter kit</w:t>
            </w:r>
          </w:p>
        </w:tc>
        <w:tc>
          <w:tcPr>
            <w:tcW w:type="dxa" w:w="2160"/>
          </w:tcPr>
          <w:p>
            <w:r>
              <w:rPr/>
              <w:t>96</w:t>
            </w:r>
          </w:p>
        </w:tc>
        <w:tc>
          <w:tcPr>
            <w:tcW w:type="dxa" w:w="2160"/>
          </w:tcPr>
          <w:p>
            <w:r>
              <w:rPr/>
              <w:t>149.00</w:t>
            </w:r>
          </w:p>
        </w:tc>
        <w:tc>
          <w:tcPr>
            <w:tcW w:type="dxa" w:w="2160"/>
          </w:tcPr>
          <w:p>
            <w:r>
              <w:rPr/>
              <w:t>14304</w:t>
            </w:r>
          </w:p>
        </w:tc>
      </w:tr>
      <w:tr>
        <w:tc>
          <w:tcPr>
            <w:tcW w:type="dxa" w:w="2160"/>
          </w:tcPr>
          <w:p>
            <w:r>
              <w:rPr/>
              <w:t>Docking station</w:t>
            </w:r>
          </w:p>
        </w:tc>
        <w:tc>
          <w:tcPr>
            <w:tcW w:type="dxa" w:w="2160"/>
          </w:tcPr>
          <w:p/>
        </w:tc>
        <w:tc>
          <w:tcPr>
            <w:tcW w:type="dxa" w:w="2160"/>
          </w:tcPr>
          <w:p>
            <w:r>
              <w:rPr/>
              <w:t>89.90</w:t>
            </w:r>
          </w:p>
        </w:tc>
        <w:tc>
          <w:tcPr>
            <w:tcW w:type="dxa" w:w="2160"/>
          </w:tcPr>
          <w:p/>
        </w:tc>
      </w:tr>
    </w:tbl>
    <w:p/>
    <w:p>
      <w:pPr>
        <w:pStyle w:val="Heading3"/>
      </w:pPr>
      <w:r>
        <w:rPr/>
        <w:t>Highlights</w:t>
      </w:r>
    </w:p>
    <w:p>
      <w:pPr>
        <w:pStyle w:val="ListBullet"/>
      </w:pPr>
      <w:r>
        <w:rPr/>
        <w:t>Net revenue retention reached 112 percent</w:t>
      </w:r>
    </w:p>
    <w:p>
      <w:pPr>
        <w:pStyle w:val="ListBullet"/>
      </w:pPr>
      <w:r>
        <w:rPr/>
        <w:t>Churn dropped to 2.1 percent per month</w:t>
      </w:r>
    </w:p>
    <w:p>
      <w:pPr>
        <w:pStyle w:val="ListBullet"/>
      </w:pPr>
      <w:r>
        <w:rPr/>
        <w:t>The partner programme added 17 resellers</w:t>
      </w:r>
    </w:p>
    <w:p>
      <w:pPr>
        <w:pStyle w:val="ListBullet"/>
      </w:pPr>
      <w:r>
        <w:rPr/>
        <w:t>Hardware backlog stands at 340 units</w:t>
      </w:r>
    </w:p>
    <w:p>
      <w:pPr>
        <w:pStyle w:val="Heading2"/>
      </w:pPr>
      <w:r>
        <w:rPr/>
        <w:t>Outlook</w:t>
      </w:r>
    </w:p>
    <w:p>
      <w:r>
        <w:rPr/>
        <w:t xml:space="preserve">We expect the fourth quarter to be the strongest of the year. The detailed forecast and assumptions are published in the </w:t>
      </w:r>
      <w:hyperlink r:id="rId9">
        <w:r>
          <w:rPr>
            <w:color w:val="0563C1"/>
            <w:u w:val="single"/>
          </w:rPr>
          <w:t xml:space="preserve">forecast workbook</w:t>
        </w:r>
      </w:hyperlink>
      <w:r>
        <w:rPr/>
        <w:t xml:space="preserve"> and discussed in the </w:t>
      </w:r>
      <w:hyperlink r:id="rId10">
        <w:r>
          <w:rPr>
            <w:color w:val="0563C1"/>
            <w:u w:val="single"/>
          </w:rPr>
          <w:t xml:space="preserve">board summary</w:t>
        </w:r>
      </w:hyperlink>
      <w:r>
        <w:rPr/>
        <w:t>.</w:t>
      </w:r>
    </w:p>
    <w:p>
      <w:pPr>
        <w:pStyle w:val="ListNumber"/>
        <w:numPr>
          <w:ilvl w:val="0"/>
          <w:numId w:val="10"/>
        </w:numPr>
      </w:pPr>
      <w:r>
        <w:rPr/>
        <w:t>Close the Eastern Europe reporting gap by mid November</w:t>
      </w:r>
    </w:p>
    <w:p>
      <w:pPr>
        <w:pStyle w:val="ListNumber"/>
        <w:numPr>
          <w:ilvl w:val="0"/>
          <w:numId w:val="10"/>
        </w:numPr>
      </w:pPr>
      <w:r>
        <w:rPr/>
        <w:t>Restock the docking station inventory</w:t>
      </w:r>
    </w:p>
    <w:p>
      <w:pPr>
        <w:pStyle w:val="ListNumber"/>
        <w:numPr>
          <w:ilvl w:val="0"/>
          <w:numId w:val="10"/>
        </w:numPr>
      </w:pPr>
      <w:r>
        <w:rPr/>
        <w:t>Launch the annual plan discount campaign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finance.harborlane.example/forecast-q4" TargetMode="External"/><Relationship Id="rId10" Type="http://schemas.openxmlformats.org/officeDocument/2006/relationships/hyperlink" Target="https://finance.harborlane.example/board-summar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02_sales_report</dc:title>
  <dc:subject/>
  <dc:creator>Benchmark</dc:creator>
  <cp:keywords/>
  <dc:description>generated by python-docx</dc:description>
  <cp:lastModifiedBy>Benchmark</cp:lastModifiedBy>
  <cp:revision>1</cp:revision>
  <dcterms:created xsi:type="dcterms:W3CDTF">2026-10-25T00:00:00Z</dcterms:created>
  <dcterms:modified xsi:type="dcterms:W3CDTF">2026-10-25T00:00:00Z</dcterms:modified>
  <cp:category/>
</cp:coreProperties>
</file>