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CognitaNexus 核心模块软件算法规格说明书（V1.0 · Review Candidate）</w:t>
      </w:r>
    </w:p>
    <w:p>
      <w:r>
        <w:rPr>
          <w:b/>
        </w:rPr>
        <w:t>系统名称：</w:t>
      </w:r>
      <w:r>
        <w:rPr>
          <w:b w:val="0"/>
        </w:rPr>
        <w:t xml:space="preserve"> 学术成果分享平台 CognitaNexus  | </w:t>
      </w:r>
      <w:r>
        <w:rPr>
          <w:b/>
        </w:rPr>
        <w:t>课程作业：</w:t>
      </w:r>
      <w:r>
        <w:rPr>
          <w:b w:val="0"/>
        </w:rPr>
        <w:t xml:space="preserve"> 核心模块 SPEC（作业二）  | </w:t>
      </w:r>
      <w:r>
        <w:rPr>
          <w:b/>
        </w:rPr>
        <w:t>日期：</w:t>
      </w:r>
      <w:r>
        <w:rPr>
          <w:b w:val="0"/>
        </w:rPr>
        <w:t xml:space="preserve"> 2026-10-12  | </w:t>
      </w:r>
      <w:r>
        <w:rPr>
          <w:b/>
        </w:rPr>
        <w:t>状态：</w:t>
      </w:r>
      <w:r>
        <w:rPr>
          <w:b w:val="0"/>
        </w:rPr>
        <w:t xml:space="preserve"> Draft / Review Candidate，未签认、未冻结</w:t>
      </w:r>
    </w:p>
    <w:p>
      <w:r>
        <w:rPr>
          <w:b/>
        </w:rPr>
        <w:t>适用基线：</w:t>
      </w:r>
      <w:r>
        <w:rPr>
          <w:b w:val="0"/>
        </w:rPr>
        <w:t xml:space="preserve"> 需求报告 V1.9（仍待小组评审）；共同 SRS V1.0 Review Candidate 2026-10-12；成员 01/02/03/05 模块 SRS。</w:t>
      </w:r>
      <w:r>
        <w:rPr>
          <w:b/>
        </w:rPr>
        <w:t>本文的示例输入全部为人工构造的算法样例，不代表真实科研记录。</w:t>
      </w:r>
    </w:p>
    <w:p>
      <w:pPr>
        <w:pStyle w:val="Heading1"/>
      </w:pPr>
      <w:r>
        <w:t>1. 引言、目的与范围</w:t>
      </w:r>
    </w:p>
    <w:p>
      <w:r>
        <w:rPr>
          <w:b w:val="0"/>
        </w:rPr>
        <w:t>本文只约束 FR09 数据清洗及成果去重、FR15 学者消歧与成果归属、FR01 检索及排序的可观察判定；不规定数据库、服务接口、语言、检索引擎与硬件架构。规则标签【继承】表示可在上述已读取 SRS/基线中找到相同业务语义，【细化候选】表示建议实现判定但需批准，【待联合评审】表示任何依赖此项的 AC 当前不能宣称通过。</w:t>
      </w:r>
    </w:p>
    <w:p>
      <w:pPr>
        <w:pStyle w:val="Heading1"/>
      </w:pPr>
      <w:r>
        <w:t>2. 规范依据、术语与版本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0"/>
        <w:gridCol w:w="3114"/>
        <w:gridCol w:w="2058"/>
      </w:tblGrid>
      <w:tr>
        <w:trPr>
          <w:cantSplit/>
          <w:tblHeader/>
        </w:trPr>
        <w:tc>
          <w:tcPr>
            <w:tcW w:type="dxa" w:w="475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依据</w:t>
            </w:r>
          </w:p>
        </w:tc>
        <w:tc>
          <w:tcPr>
            <w:tcW w:type="dxa" w:w="311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定位</w:t>
            </w:r>
          </w:p>
        </w:tc>
        <w:tc>
          <w:tcPr>
            <w:tcW w:type="dxa" w:w="2058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效力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V1.9 需求分析与可行性报告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FR01、FR09、FR15、5.2 数据规则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上位业务基线（待小组评审）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成员03 governance-dedup.md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FR09-S01～S12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责任成员 Draft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成员03 scholar-disambiguation.md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FR15-S01～S13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责任成员 Draft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成员01 search-recommendation.md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FR01-S01～S14；A01～A06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责任成员 Draft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成员02 collection-update.md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FR08、FR10、FR16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上游数据交接 Draft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成员05 analytics-graph.md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BR-511～BR-530；FR11～FR13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统计消费方 Draft</w:t>
            </w:r>
          </w:p>
        </w:tc>
      </w:tr>
      <w:tr>
        <w:trPr>
          <w:cantSplit/>
        </w:trPr>
        <w:tc>
          <w:tcPr>
            <w:tcW w:type="dxa" w:w="47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joint-review-draft-2026-10-11.md</w:t>
            </w:r>
          </w:p>
        </w:tc>
        <w:tc>
          <w:tcPr>
            <w:tcW w:type="dxa" w:w="3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JR-P0/P1 待决项</w:t>
            </w:r>
          </w:p>
        </w:tc>
        <w:tc>
          <w:tcPr>
            <w:tcW w:type="dxa" w:w="205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待决登记，非会议决议</w:t>
            </w:r>
          </w:p>
        </w:tc>
      </w:tr>
    </w:tbl>
    <w:p/>
    <w:p>
      <w:r>
        <w:rPr>
          <w:b/>
        </w:rPr>
        <w:t>业务对象：</w:t>
      </w:r>
      <w:r>
        <w:rPr>
          <w:b w:val="0"/>
        </w:rPr>
        <w:t xml:space="preserve"> SourceRecord（来源记录）是带来源、来源内标识、到达事件、原始字段的原始证据；CleanRecord（规范记录）记录规范值、原值及异常；WorkEntity（成果实体）是去重后的一项成果；WorkVersion（版本）是预印本/修订/正式发表的可追溯版本；Scholar（学者档案）是独立身份实体；User（用户账号）仅是交互主体；Authorship（学者—成果参与关系）携带独立的身份、归属、证据和确认状态。User ≠ Scholar；WorkEntity ≠ Authorship。</w:t>
      </w:r>
    </w:p>
    <w:p>
      <w:r>
        <w:rPr>
          <w:b/>
        </w:rPr>
        <w:t>版本记录：</w:t>
      </w:r>
      <w:r>
        <w:rPr>
          <w:b w:val="0"/>
        </w:rPr>
        <w:t xml:space="preserve"> V1.0-RC1 / 2026-10-12 / AI 辅助整理 / 审核人待填写 / 只形成候选规格，无六人联合签认。</w:t>
      </w:r>
    </w:p>
    <w:p>
      <w:pPr>
        <w:pStyle w:val="Heading1"/>
      </w:pPr>
      <w:r>
        <w:t>3. 公共契约、状态和不变量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36"/>
        <w:gridCol w:w="3655"/>
        <w:gridCol w:w="2430"/>
      </w:tblGrid>
      <w:tr>
        <w:trPr>
          <w:cantSplit/>
          <w:tblHeader/>
        </w:trPr>
        <w:tc>
          <w:tcPr>
            <w:tcW w:type="dxa" w:w="3836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输入／输出字段</w:t>
            </w:r>
          </w:p>
        </w:tc>
        <w:tc>
          <w:tcPr>
            <w:tcW w:type="dxa" w:w="3655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约束与语义</w:t>
            </w:r>
          </w:p>
        </w:tc>
        <w:tc>
          <w:tcPr>
            <w:tcW w:type="dxa" w:w="243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缺失或冲突行为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source_id、source_record_key、arrival_id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来源与到达批次及事件定位；同源相同逻辑记录重复到达不新增成果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缺少可确认来源身份时异常入队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data_origin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真实/模拟/未确认，不能把未确认解释为真实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查询可见时显式未知；未决的混合规则登记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work_type、title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论文、专利、项目、获奖；类型与题名（或该类型经批准的名称字段）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缺类型或名称不得生成公开有效成果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identifiers[]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类型、原始值、规范键、有效性、来源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不合法保留原值，异常，不伪造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people[]、organizations[]、domains[]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有序作者及可选机构、领域、原始标记与映射状态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不确定身份或机构映射保持未映射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time_events[]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带事件语义和精度的时间列表，包含来源时间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不以采集日期代替发生时间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source_url、rights、provenance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原始链接、可公开状态、字段来源及生效决议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权限不明时不扩大公开范围</w:t>
            </w:r>
          </w:p>
        </w:tc>
      </w:tr>
      <w:tr>
        <w:trPr>
          <w:cantSplit/>
        </w:trPr>
        <w:tc>
          <w:tcPr>
            <w:tcW w:type="dxa" w:w="383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entity_id、version_id、relation_id</w:t>
            </w:r>
          </w:p>
        </w:tc>
        <w:tc>
          <w:tcPr>
            <w:tcW w:type="dxa" w:w="36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下游实体／版本／参与关系稳定引用</w:t>
            </w:r>
          </w:p>
        </w:tc>
        <w:tc>
          <w:tcPr>
            <w:tcW w:type="dxa" w:w="243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历史合并保留重定向及审计</w:t>
            </w:r>
          </w:p>
        </w:tc>
      </w:tr>
    </w:tbl>
    <w:p/>
    <w:p>
      <w:r>
        <w:rPr>
          <w:b/>
        </w:rPr>
        <w:t>公共状态（不混同各业务状态机）：</w:t>
      </w:r>
      <w:r>
        <w:rPr>
          <w:b w:val="0"/>
        </w:rPr>
        <w:t xml:space="preserve"> 治理 </w:t>
      </w:r>
      <w:r>
        <w:rPr>
          <w:rFonts w:ascii="DejaVu Sans Mono" w:hAnsi="DejaVu Sans Mono"/>
          <w:b w:val="0"/>
          <w:sz w:val="16"/>
        </w:rPr>
        <w:t>有效/异常待处理/待核验/已处理</w:t>
      </w:r>
      <w:r>
        <w:rPr>
          <w:b w:val="0"/>
        </w:rPr>
        <w:t xml:space="preserve">；匹配 </w:t>
      </w:r>
      <w:r>
        <w:rPr>
          <w:rFonts w:ascii="DejaVu Sans Mono" w:hAnsi="DejaVu Sans Mono"/>
          <w:b w:val="0"/>
          <w:sz w:val="16"/>
        </w:rPr>
        <w:t>确定匹配/候选待核验/确定不同</w:t>
      </w:r>
      <w:r>
        <w:rPr>
          <w:b w:val="0"/>
        </w:rPr>
        <w:t xml:space="preserve">；参与关系统一为 </w:t>
      </w:r>
      <w:r>
        <w:rPr>
          <w:rFonts w:ascii="DejaVu Sans Mono" w:hAnsi="DejaVu Sans Mono"/>
          <w:b w:val="0"/>
          <w:sz w:val="16"/>
        </w:rPr>
        <w:t>自动关联/本人确认/待核验/争议/已排除</w:t>
      </w:r>
      <w:r>
        <w:rPr>
          <w:b w:val="0"/>
        </w:rPr>
        <w:t xml:space="preserve">；来源证据、本人确认事件、管理员审核事件独立记录，管理员审核不是关系状态，也不冒充本人确认。治理与匹配为本 SPEC 的分类标签；与门户认领申请 </w:t>
      </w:r>
      <w:r>
        <w:rPr>
          <w:rFonts w:ascii="DejaVu Sans Mono" w:hAnsi="DejaVu Sans Mono"/>
          <w:b w:val="0"/>
          <w:sz w:val="16"/>
        </w:rPr>
        <w:t>待审核/待补充/已通过/已驳回</w:t>
      </w:r>
      <w:r>
        <w:rPr>
          <w:b w:val="0"/>
        </w:rPr>
        <w:t xml:space="preserve"> 独立。映射成为全组枚举值须联合评审。</w:t>
      </w:r>
    </w:p>
    <w:p>
      <w:r>
        <w:rPr>
          <w:b/>
        </w:rPr>
        <w:t>不变量：</w:t>
      </w:r>
      <w:r>
        <w:rPr>
          <w:b w:val="0"/>
        </w:rPr>
        <w:t xml:space="preserve"> INV-01 原始记录永不因清洗被改写；INV-02 多来源可指向同一成果，来源数不等于成果数；INV-03 标题相似不是自动归并充分条件；INV-04 单个争议关联不取消整个有效成果资格；INV-05 解除关联不删除共享成果；INV-06 自动更新不覆盖已人工确认字段；INV-07 重试幂等；INV-08 非公开信息不能通过检索、排序、分页、推荐泄漏；INV-09 实际/模拟区分始终保留；INV-10 所有生效决定均留证据、时刻、操作者类型。</w:t>
      </w:r>
    </w:p>
    <w:p>
      <w:pPr>
        <w:pStyle w:val="Heading1"/>
      </w:pPr>
      <w:r>
        <w:t>4. 数据清洗规范（FR09）</w:t>
      </w:r>
    </w:p>
    <w:p>
      <w:pPr>
        <w:pStyle w:val="Heading2"/>
      </w:pPr>
      <w:r>
        <w:t>4.1 目标、输入、前置条件和输出</w:t>
      </w:r>
    </w:p>
    <w:p>
      <w:r>
        <w:rPr>
          <w:b w:val="0"/>
        </w:rPr>
        <w:t>输入为符合来源接入许可的 SourceRecord、来源字段映射及当前机构/领域分类表；前置条件为来源声明、类型可识别和本次批次具备可定位的到达标识。输出为 CleanRecord、字段级原值与规范值、状态/原因清单及事件；清洗成功不等于去重成功或公开授权。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7"/>
        <w:gridCol w:w="2590"/>
        <w:gridCol w:w="3028"/>
        <w:gridCol w:w="3506"/>
      </w:tblGrid>
      <w:tr>
        <w:trPr>
          <w:cantSplit/>
          <w:tblHeader/>
        </w:trPr>
        <w:tc>
          <w:tcPr>
            <w:tcW w:type="dxa" w:w="797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成果类型</w:t>
            </w:r>
          </w:p>
        </w:tc>
        <w:tc>
          <w:tcPr>
            <w:tcW w:type="dxa" w:w="259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核心名称字段</w:t>
            </w:r>
          </w:p>
        </w:tc>
        <w:tc>
          <w:tcPr>
            <w:tcW w:type="dxa" w:w="3028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时间事件语义（不得互换）</w:t>
            </w:r>
          </w:p>
        </w:tc>
        <w:tc>
          <w:tcPr>
            <w:tcW w:type="dxa" w:w="3506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可选证据字段</w:t>
            </w:r>
          </w:p>
        </w:tc>
      </w:tr>
      <w:tr>
        <w:trPr>
          <w:cantSplit/>
        </w:trPr>
        <w:tc>
          <w:tcPr>
            <w:tcW w:type="dxa" w:w="79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论文</w:t>
            </w:r>
          </w:p>
        </w:tc>
        <w:tc>
          <w:tcPr>
            <w:tcW w:type="dxa" w:w="259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题名、成果类型、来源身份</w:t>
            </w:r>
          </w:p>
        </w:tc>
        <w:tc>
          <w:tcPr>
            <w:tcW w:type="dxa" w:w="30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发表/公开日期；预印本首次发布和正式发表可分列</w:t>
            </w:r>
          </w:p>
        </w:tc>
        <w:tc>
          <w:tcPr>
            <w:tcW w:type="dxa" w:w="350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DOI、作者及次序、载体、摘要、关键词、领域</w:t>
            </w:r>
          </w:p>
        </w:tc>
      </w:tr>
      <w:tr>
        <w:trPr>
          <w:cantSplit/>
        </w:trPr>
        <w:tc>
          <w:tcPr>
            <w:tcW w:type="dxa" w:w="79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专利</w:t>
            </w:r>
          </w:p>
        </w:tc>
        <w:tc>
          <w:tcPr>
            <w:tcW w:type="dxa" w:w="259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专利名称、成果类型、来源身份</w:t>
            </w:r>
          </w:p>
        </w:tc>
        <w:tc>
          <w:tcPr>
            <w:tcW w:type="dxa" w:w="30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申请日、公开日、授权日分别记录</w:t>
            </w:r>
          </w:p>
        </w:tc>
        <w:tc>
          <w:tcPr>
            <w:tcW w:type="dxa" w:w="350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申请号/公开号/授权号（分体系）、申请人、发明人</w:t>
            </w:r>
          </w:p>
        </w:tc>
      </w:tr>
      <w:tr>
        <w:trPr>
          <w:cantSplit/>
        </w:trPr>
        <w:tc>
          <w:tcPr>
            <w:tcW w:type="dxa" w:w="79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科研项目</w:t>
            </w:r>
          </w:p>
        </w:tc>
        <w:tc>
          <w:tcPr>
            <w:tcW w:type="dxa" w:w="259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项目名称、成果类型、来源身份</w:t>
            </w:r>
          </w:p>
        </w:tc>
        <w:tc>
          <w:tcPr>
            <w:tcW w:type="dxa" w:w="30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立项/起始/结项分别记录</w:t>
            </w:r>
          </w:p>
        </w:tc>
        <w:tc>
          <w:tcPr>
            <w:tcW w:type="dxa" w:w="350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项目号（限定授予机构）、负责人、资助机构、领域</w:t>
            </w:r>
          </w:p>
        </w:tc>
      </w:tr>
      <w:tr>
        <w:trPr>
          <w:cantSplit/>
        </w:trPr>
        <w:tc>
          <w:tcPr>
            <w:tcW w:type="dxa" w:w="79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获奖</w:t>
            </w:r>
          </w:p>
        </w:tc>
        <w:tc>
          <w:tcPr>
            <w:tcW w:type="dxa" w:w="259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奖项或获奖成果名称、成果类型、来源身份</w:t>
            </w:r>
          </w:p>
        </w:tc>
        <w:tc>
          <w:tcPr>
            <w:tcW w:type="dxa" w:w="30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获奖/公示年份与日期分别记录</w:t>
            </w:r>
          </w:p>
        </w:tc>
        <w:tc>
          <w:tcPr>
            <w:tcW w:type="dxa" w:w="350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奖项级别、颁奖机构、获奖人</w:t>
            </w:r>
          </w:p>
        </w:tc>
      </w:tr>
    </w:tbl>
    <w:p/>
    <w:p>
      <w:r>
        <w:rPr>
          <w:b/>
        </w:rPr>
        <w:t>必填边界：</w:t>
      </w:r>
      <w:r>
        <w:rPr>
          <w:b w:val="0"/>
        </w:rPr>
        <w:t xml:space="preserve"> V1.9 与 FR09-S01 已明确缺失标题不得公开；上述“类型、来源定位、名称”作为治理所需最小输入。本 SPEC 不将作者、DOI、摘要、机构、精确日期强制设为所有类型必填。类型细化的特殊必填项（例如某项目编号）列为待评审，不自行填充。</w:t>
      </w:r>
    </w:p>
    <w:p>
      <w:pPr>
        <w:pStyle w:val="Heading2"/>
      </w:pPr>
      <w:r>
        <w:t>4.2 可执行规则表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85"/>
        <w:gridCol w:w="6781"/>
        <w:gridCol w:w="2255"/>
      </w:tblGrid>
      <w:tr>
        <w:trPr>
          <w:cantSplit/>
          <w:tblHeader/>
        </w:trPr>
        <w:tc>
          <w:tcPr>
            <w:tcW w:type="dxa" w:w="885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6781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规则与输出判定</w:t>
            </w:r>
          </w:p>
        </w:tc>
        <w:tc>
          <w:tcPr>
            <w:tcW w:type="dxa" w:w="2255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CL-01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验证来源、类型、名称；空白规范化后为空时标异常，不公开、不推断标题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FR09-S01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CL-02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仅剔除标题比对键的无意义空白、Unicode 常见标点差异；展示名保留来源标点及原值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FR09-S01/S04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CL-03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DOI 去解析地址前缀、trim、做大小写无关规范键；N/A 不成键；不把不同标识体系串联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FR09-S03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CL-04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专利申请/公开号/授权号分别按辖区+标识体系+规范值比对；未知辖区保留原值，不跨体系误配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细化候选 FR09-S03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CL-05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人名保留原文、顺序、姓名变体；机构仅通过已审别名字典映射，未知则 未映射；领域同理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FR09-S04、FR15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CL-06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时间记录 事件类型/数值/精度/原字符串；仅年份不得填 1 月 1 日；非法日异常；有歧义日期待核验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FR09-S02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CL-07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采集日期仅用于来源审计，不能覆盖论文发表、专利申请、项目立项或获奖时间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FR09-S02/FR16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CL-08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来源不足、不合法稳定标识归异常；未知可选字段记 未知，但区分空白/缺失/确认为无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FR09-S01/S03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CL-09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字段冲突展示已确认值优先，保留新证据并产生单个可累积处理项；不静默覆盖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FR09-S05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CL-10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同来源同逻辑记录重复到达只追加到达事件/更改证据，不凭重复加成果或出处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FR09-S10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CL-11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原始/规范值、适配规则版本、映射字典版本、出处、审核决定可回放追溯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FR09-S12</w:t>
            </w:r>
          </w:p>
        </w:tc>
      </w:tr>
      <w:tr>
        <w:trPr>
          <w:cantSplit/>
        </w:trPr>
        <w:tc>
          <w:tcPr>
            <w:tcW w:type="dxa" w:w="88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CL-12</w:t>
            </w:r>
          </w:p>
        </w:tc>
        <w:tc>
          <w:tcPr>
            <w:tcW w:type="dxa" w:w="678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来源撤回、记录消失、外链失效是不同事件；均不因一次事件物理删除历史实体</w:t>
            </w:r>
          </w:p>
        </w:tc>
        <w:tc>
          <w:tcPr>
            <w:tcW w:type="dxa" w:w="225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FR09-S05/S11</w:t>
            </w:r>
          </w:p>
        </w:tc>
      </w:tr>
    </w:tbl>
    <w:p/>
    <w:p>
      <w:pPr>
        <w:pStyle w:val="Heading2"/>
      </w:pPr>
      <w:r>
        <w:t>4.3 算法步骤与伪代码</w:t>
      </w:r>
    </w:p>
    <w:p>
      <w:pPr>
        <w:spacing w:after="20"/>
      </w:pPr>
      <w:r>
        <w:rPr>
          <w:rFonts w:ascii="DejaVu Sans Mono" w:hAnsi="DejaVu Sans Mono"/>
          <w:sz w:val="16"/>
        </w:rPr>
        <w:t>CLEAN(record, maps):</w:t>
      </w:r>
    </w:p>
    <w:p>
      <w:pPr>
        <w:spacing w:after="20"/>
      </w:pPr>
      <w:r>
        <w:rPr>
          <w:rFonts w:ascii="DejaVu Sans Mono" w:hAnsi="DejaVu Sans Mono"/>
          <w:sz w:val="16"/>
        </w:rPr>
        <w:t>if source identity missing or type unsupported or normalized_name empty:</w:t>
      </w:r>
    </w:p>
    <w:p>
      <w:pPr>
        <w:spacing w:after="20"/>
      </w:pPr>
      <w:r>
        <w:rPr>
          <w:rFonts w:ascii="DejaVu Sans Mono" w:hAnsi="DejaVu Sans Mono"/>
          <w:sz w:val="16"/>
        </w:rPr>
        <w:t>return Exception(reason, raw=record)</w:t>
      </w:r>
    </w:p>
    <w:p>
      <w:pPr>
        <w:spacing w:after="20"/>
      </w:pPr>
      <w:r>
        <w:rPr>
          <w:rFonts w:ascii="DejaVu Sans Mono" w:hAnsi="DejaVu Sans Mono"/>
          <w:sz w:val="16"/>
        </w:rPr>
        <w:t>out = new CleanRecord(rawRef=record, dataOrigin=record.origin)</w:t>
      </w:r>
    </w:p>
    <w:p>
      <w:pPr>
        <w:spacing w:after="20"/>
      </w:pPr>
      <w:r>
        <w:rPr>
          <w:rFonts w:ascii="DejaVu Sans Mono" w:hAnsi="DejaVu Sans Mono"/>
          <w:sz w:val="16"/>
        </w:rPr>
        <w:t>for field in record.fields: out.add(rawValue, normalizationRule, mappedValue, evidence)</w:t>
      </w:r>
    </w:p>
    <w:p>
      <w:pPr>
        <w:spacing w:after="20"/>
      </w:pPr>
      <w:r>
        <w:rPr>
          <w:rFonts w:ascii="DejaVu Sans Mono" w:hAnsi="DejaVu Sans Mono"/>
          <w:sz w:val="16"/>
        </w:rPr>
        <w:t>for identifier: validate using its OWN type and jurisdiction; never convert guessed IDs</w:t>
      </w:r>
    </w:p>
    <w:p>
      <w:pPr>
        <w:spacing w:after="20"/>
      </w:pPr>
      <w:r>
        <w:rPr>
          <w:rFonts w:ascii="DejaVu Sans Mono" w:hAnsi="DejaVu Sans Mono"/>
          <w:sz w:val="16"/>
        </w:rPr>
        <w:t>for date: parse only unambiguous format; attach event type and precision</w:t>
      </w:r>
    </w:p>
    <w:p>
      <w:pPr>
        <w:spacing w:after="20"/>
      </w:pPr>
      <w:r>
        <w:rPr>
          <w:rFonts w:ascii="DejaVu Sans Mono" w:hAnsi="DejaVu Sans Mono"/>
          <w:sz w:val="16"/>
        </w:rPr>
        <w:t>if invalid date/identifier: return Exception(with unchanged raw evidence)</w:t>
      </w:r>
    </w:p>
    <w:p>
      <w:pPr>
        <w:spacing w:after="20"/>
      </w:pPr>
      <w:r>
        <w:rPr>
          <w:rFonts w:ascii="DejaVu Sans Mono" w:hAnsi="DejaVu Sans Mono"/>
          <w:sz w:val="16"/>
        </w:rPr>
        <w:t>if ambiguous date, future suspicious date, multiple incompatible identifiers:</w:t>
      </w:r>
    </w:p>
    <w:p>
      <w:pPr>
        <w:spacing w:after="20"/>
      </w:pPr>
      <w:r>
        <w:rPr>
          <w:rFonts w:ascii="DejaVu Sans Mono" w:hAnsi="DejaVu Sans Mono"/>
          <w:sz w:val="16"/>
        </w:rPr>
        <w:t>return PendingVerification(out, reasons)</w:t>
      </w:r>
    </w:p>
    <w:p>
      <w:pPr>
        <w:spacing w:after="20"/>
      </w:pPr>
      <w:r>
        <w:rPr>
          <w:rFonts w:ascii="DejaVu Sans Mono" w:hAnsi="DejaVu Sans Mono"/>
          <w:sz w:val="16"/>
        </w:rPr>
        <w:t>return Valid(out)</w:t>
      </w:r>
    </w:p>
    <w:p>
      <w:pPr>
        <w:pStyle w:val="Heading2"/>
      </w:pPr>
      <w:r>
        <w:t>4.4 异常决策表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96"/>
        <w:gridCol w:w="1299"/>
        <w:gridCol w:w="2309"/>
        <w:gridCol w:w="2417"/>
      </w:tblGrid>
      <w:tr>
        <w:trPr>
          <w:cantSplit/>
          <w:tblHeader/>
        </w:trPr>
        <w:tc>
          <w:tcPr>
            <w:tcW w:type="dxa" w:w="3896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条件</w:t>
            </w:r>
          </w:p>
        </w:tc>
        <w:tc>
          <w:tcPr>
            <w:tcW w:type="dxa" w:w="1299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type="dxa" w:w="2309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生效输出</w:t>
            </w:r>
          </w:p>
        </w:tc>
        <w:tc>
          <w:tcPr>
            <w:tcW w:type="dxa" w:w="2417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后续动作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缺成果名称或来源身份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异常待处理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不形成有效公开实体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保留原始记录并提示缺项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只有缺失摘要/关键词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有效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可选字段未知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正常进入去重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日期不存在，如 2023-02-30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异常待处理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不写生效日期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人工核查来源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日期 05/06/2023 且顺序未知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待核验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无生效发生日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待确认格式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年份明显可疑，如论文 2099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待核验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记录原值及可疑原因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人工核验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同实体新来源冲突于人工确认字段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待核验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旧确认值继续可见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冲突证据合并入同一处理项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映射字典服务不可用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部分成功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保留未映射值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通知管理员，后续重试映射</w:t>
            </w:r>
          </w:p>
        </w:tc>
      </w:tr>
      <w:tr>
        <w:trPr>
          <w:cantSplit/>
        </w:trPr>
        <w:tc>
          <w:tcPr>
            <w:tcW w:type="dxa" w:w="3896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同一来源记录再次采集</w:t>
            </w:r>
          </w:p>
        </w:tc>
        <w:tc>
          <w:tcPr>
            <w:tcW w:type="dxa" w:w="129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已处理</w:t>
            </w:r>
          </w:p>
        </w:tc>
        <w:tc>
          <w:tcPr>
            <w:tcW w:type="dxa" w:w="23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不增加实体或重复出处</w:t>
            </w:r>
          </w:p>
        </w:tc>
        <w:tc>
          <w:tcPr>
            <w:tcW w:type="dxa" w:w="241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写重复到达事件</w:t>
            </w:r>
          </w:p>
        </w:tc>
      </w:tr>
    </w:tbl>
    <w:p/>
    <w:p>
      <w:pPr>
        <w:pStyle w:val="Heading2"/>
      </w:pPr>
      <w:r>
        <w:t>4.5 与需求的追踪</w:t>
      </w:r>
    </w:p>
    <w:p>
      <w:r>
        <w:rPr>
          <w:b w:val="0"/>
        </w:rPr>
        <w:t>CL-01/02/08 → FR09-S01（AC-01～04）；CL-06/07 → FR09-S02（AC-01～05）；CL-03/04 → FR09-S03（AC-01～04）；CL-05 → FR09-S04（AC-01～04）；CL-09/12 → FR09-S05（AC-01～05）；CL-10 → FR09-S10（AC-01～04）；CL-11 → FR09-S12（AC-01～04）。</w:t>
      </w:r>
    </w:p>
    <w:p>
      <w:pPr>
        <w:pStyle w:val="Heading1"/>
      </w:pPr>
      <w:r>
        <w:t>5. 成果去重算法（FR09）</w:t>
      </w:r>
    </w:p>
    <w:p>
      <w:pPr>
        <w:pStyle w:val="Heading2"/>
      </w:pPr>
      <w:r>
        <w:t>5.1 目标、输入、输出与前置条件</w:t>
      </w:r>
    </w:p>
    <w:p>
      <w:r>
        <w:rPr>
          <w:b w:val="0"/>
        </w:rPr>
        <w:t xml:space="preserve">输入是已完成 CL 清洗的规范来源记录、成果实体索引、版本映射及归并历史；输出为 </w:t>
      </w:r>
      <w:r>
        <w:rPr>
          <w:rFonts w:ascii="DejaVu Sans Mono" w:hAnsi="DejaVu Sans Mono"/>
          <w:b w:val="0"/>
          <w:sz w:val="16"/>
        </w:rPr>
        <w:t>命中实体/新建实体/疑似重复待核验/确定不同</w:t>
      </w:r>
      <w:r>
        <w:rPr>
          <w:b w:val="0"/>
        </w:rPr>
        <w:t>、候选及证据、版本关系、出处映射和审计事件。先验证来源记录身份、类型和标识合法性，再判定是否自动连接；异常记录不得绕开清洗产生公共实体。</w:t>
      </w:r>
    </w:p>
    <w:p>
      <w:pPr>
        <w:pStyle w:val="Heading2"/>
      </w:pPr>
      <w:r>
        <w:t>5.2 判定顺序及规则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12"/>
        <w:gridCol w:w="7487"/>
        <w:gridCol w:w="1623"/>
      </w:tblGrid>
      <w:tr>
        <w:trPr>
          <w:cantSplit/>
          <w:tblHeader/>
        </w:trPr>
        <w:tc>
          <w:tcPr>
            <w:tcW w:type="dxa" w:w="812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7487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判定依据、顺序及可见结果</w:t>
            </w:r>
          </w:p>
        </w:tc>
        <w:tc>
          <w:tcPr>
            <w:tcW w:type="dxa" w:w="1623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DD-01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先按 source_id + source_record_key 做幂等事件定位；完全重复无新实体、无重复出处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S10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DD-02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类型优先隔离：跨成果类型不自动合并；同记录同体系标识非法/冲突先待核验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S03/S06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DD-03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对 (标识体系,辖区/命名空间,规范键) 精确查找；只命中一个一致类型实体且无矛盾证据可自动映射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S06；冲突优先级待评审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DD-04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同一稳定标识命中两个历史实体，禁止任选；列两个候选待核验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S06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DD-05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无有效稳定键或无命中时，以同类型、标题比对键及合理年份窗口召回，再核对作者/发明人/机构等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S07；召回窗口待评审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DD-06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无标识且类型、标题规范键、发生年份、参与者集合均一致，且没有强冲突时可按 FR09-S07-02 自动合并，四项证据留痕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S07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DD-07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只有标题近似、年份冲突或主要参与人矛盾时不可自动合并；疑似者入人工核验，明确无候选时可新建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S07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DD-08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预印本/正式发表存在来源明确版本指向时归入一成果的版本清单；无明示关系保持独立并标疑似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S08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DD-09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合并保留所有唯一出处和版本、旧 ID 可溯源重定向；禁止循环合并和部分成功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S09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DD-10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人工拆分/撤销写新审计事件，重建来源映射及影响关系，不能抹除原证据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S12；重分配细节待评审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DD-11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成果数量 distinct(生效WorkEntity canonical_id)，出处数量 distinct(source_id, source_record_key)；重复到达事件单独计数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S06/S10 与 BR-511／BR-516</w:t>
            </w:r>
          </w:p>
        </w:tc>
      </w:tr>
      <w:tr>
        <w:trPr>
          <w:cantSplit/>
        </w:trPr>
        <w:tc>
          <w:tcPr>
            <w:tcW w:type="dxa" w:w="81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DD-12</w:t>
            </w:r>
          </w:p>
        </w:tc>
        <w:tc>
          <w:tcPr>
            <w:tcW w:type="dxa" w:w="7487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候选截断只影响展示不影响判定证明；候选数量过多标待核验，不能随意选第一个</w:t>
            </w:r>
          </w:p>
        </w:tc>
        <w:tc>
          <w:tcPr>
            <w:tcW w:type="dxa" w:w="162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S07</w:t>
            </w:r>
          </w:p>
        </w:tc>
      </w:tr>
    </w:tbl>
    <w:p/>
    <w:p>
      <w:pPr>
        <w:pStyle w:val="Heading2"/>
      </w:pPr>
      <w:r>
        <w:t>5.3 无稳定标识的推荐证据模型（待联合评审，不生效）</w:t>
      </w:r>
    </w:p>
    <w:p>
      <w:r>
        <w:rPr>
          <w:b w:val="0"/>
        </w:rPr>
        <w:t xml:space="preserve">推荐采用两级判定：第一层高召回（同类型+规范标题/标题 n-gram+时间范围）；第二层规则证据（标题 T、参与人 P、发生年份 Y、机构 O、载体 V），但保留强冲突否决（成果类型冲突、可靠稳定标识指向互斥实体、证据确认的不同人员）。可以在标注集合上探索 </w:t>
      </w:r>
      <w:r>
        <w:rPr>
          <w:rFonts w:ascii="DejaVu Sans Mono" w:hAnsi="DejaVu Sans Mono"/>
          <w:b w:val="0"/>
          <w:sz w:val="16"/>
        </w:rPr>
        <w:t>score = 0.35T + 0.30P + 0.20Y + 0.10O + 0.05V</w:t>
      </w:r>
      <w:r>
        <w:rPr>
          <w:b w:val="0"/>
        </w:rPr>
        <w:t xml:space="preserve">、候选阈值 </w:t>
      </w:r>
      <w:r>
        <w:rPr>
          <w:rFonts w:ascii="DejaVu Sans Mono" w:hAnsi="DejaVu Sans Mono"/>
          <w:b w:val="0"/>
          <w:sz w:val="16"/>
        </w:rPr>
        <w:t>0.75</w:t>
      </w:r>
      <w:r>
        <w:rPr>
          <w:b w:val="0"/>
        </w:rPr>
        <w:t xml:space="preserve">、自动阈值 </w:t>
      </w:r>
      <w:r>
        <w:rPr>
          <w:rFonts w:ascii="DejaVu Sans Mono" w:hAnsi="DejaVu Sans Mono"/>
          <w:b w:val="0"/>
          <w:sz w:val="16"/>
        </w:rPr>
        <w:t>0.95</w:t>
      </w:r>
      <w:r>
        <w:rPr>
          <w:b w:val="0"/>
        </w:rPr>
        <w:t>；</w:t>
      </w:r>
      <w:r>
        <w:rPr>
          <w:b/>
        </w:rPr>
        <w:t>这些数字仅用于离线参数敏感性试验，绝非既定合并条件，也不能覆盖 DD-06 的四证据要求</w:t>
      </w:r>
      <w:r>
        <w:rPr>
          <w:b w:val="0"/>
        </w:rPr>
        <w:t>。项目/获奖的姓名和编号质量不同，应分类型验证而非直接复用权重。评估 precision、false merge rate、recall、人工负担；优先约束误合并，不用标题近似越过硬条件。</w:t>
      </w:r>
    </w:p>
    <w:p>
      <w:pPr>
        <w:pStyle w:val="Heading2"/>
      </w:pPr>
      <w:r>
        <w:t>5.4 伪代码</w:t>
      </w:r>
    </w:p>
    <w:p>
      <w:pPr>
        <w:spacing w:after="20"/>
      </w:pPr>
      <w:r>
        <w:rPr>
          <w:rFonts w:ascii="DejaVu Sans Mono" w:hAnsi="DejaVu Sans Mono"/>
          <w:sz w:val="16"/>
        </w:rPr>
        <w:t>DEDUP(c):</w:t>
      </w:r>
    </w:p>
    <w:p>
      <w:pPr>
        <w:spacing w:after="20"/>
      </w:pPr>
      <w:r>
        <w:rPr>
          <w:rFonts w:ascii="DejaVu Sans Mono" w:hAnsi="DejaVu Sans Mono"/>
          <w:sz w:val="16"/>
        </w:rPr>
        <w:t>require c.status == Valid</w:t>
      </w:r>
    </w:p>
    <w:p>
      <w:pPr>
        <w:spacing w:after="20"/>
      </w:pPr>
      <w:r>
        <w:rPr>
          <w:rFonts w:ascii="DejaVu Sans Mono" w:hAnsi="DejaVu Sans Mono"/>
          <w:sz w:val="16"/>
        </w:rPr>
        <w:t>if sameSourceLogicalRecordSeen(c): return UpdateArrivalAndChangesWithoutDuplicate()</w:t>
      </w:r>
    </w:p>
    <w:p>
      <w:pPr>
        <w:spacing w:after="20"/>
      </w:pPr>
      <w:r>
        <w:rPr>
          <w:rFonts w:ascii="DejaVu Sans Mono" w:hAnsi="DejaVu Sans Mono"/>
          <w:sz w:val="16"/>
        </w:rPr>
        <w:t>if incompatibleTypeOrIdentifierConflict(c): return Pending(c, "type/id conflict")</w:t>
      </w:r>
    </w:p>
    <w:p>
      <w:pPr>
        <w:spacing w:after="20"/>
      </w:pPr>
      <w:r>
        <w:rPr>
          <w:rFonts w:ascii="DejaVu Sans Mono" w:hAnsi="DejaVu Sans Mono"/>
          <w:sz w:val="16"/>
        </w:rPr>
        <w:t>hits = exactStableIdentifierLookup(c)</w:t>
      </w:r>
    </w:p>
    <w:p>
      <w:pPr>
        <w:spacing w:after="20"/>
      </w:pPr>
      <w:r>
        <w:rPr>
          <w:rFonts w:ascii="DejaVu Sans Mono" w:hAnsi="DejaVu Sans Mono"/>
          <w:sz w:val="16"/>
        </w:rPr>
        <w:t>if count(hits)&gt;1: return Pending(c, "multiple canonical targets")</w:t>
      </w:r>
    </w:p>
    <w:p>
      <w:pPr>
        <w:spacing w:after="20"/>
      </w:pPr>
      <w:r>
        <w:rPr>
          <w:rFonts w:ascii="DejaVu Sans Mono" w:hAnsi="DejaVu Sans Mono"/>
          <w:sz w:val="16"/>
        </w:rPr>
        <w:t>if count(hits)==1 and noConfirmedContradiction(c,hits[0]):</w:t>
      </w:r>
    </w:p>
    <w:p>
      <w:pPr>
        <w:spacing w:after="20"/>
      </w:pPr>
      <w:r>
        <w:rPr>
          <w:rFonts w:ascii="DejaVu Sans Mono" w:hAnsi="DejaVu Sans Mono"/>
          <w:sz w:val="16"/>
        </w:rPr>
        <w:t>return LinkSourceAndRetainAllEvidence(hits[0])</w:t>
      </w:r>
    </w:p>
    <w:p>
      <w:pPr>
        <w:spacing w:after="20"/>
      </w:pPr>
      <w:r>
        <w:rPr>
          <w:rFonts w:ascii="DejaVu Sans Mono" w:hAnsi="DejaVu Sans Mono"/>
          <w:sz w:val="16"/>
        </w:rPr>
        <w:t>candidates = retrieveSameTypeByTitleAndTime(c)</w:t>
      </w:r>
    </w:p>
    <w:p>
      <w:pPr>
        <w:spacing w:after="20"/>
      </w:pPr>
      <w:r>
        <w:rPr>
          <w:rFonts w:ascii="DejaVu Sans Mono" w:hAnsi="DejaVu Sans Mono"/>
          <w:sz w:val="16"/>
        </w:rPr>
        <w:t>for e in candidates:</w:t>
      </w:r>
    </w:p>
    <w:p>
      <w:pPr>
        <w:spacing w:after="20"/>
      </w:pPr>
      <w:r>
        <w:rPr>
          <w:rFonts w:ascii="DejaVu Sans Mono" w:hAnsi="DejaVu Sans Mono"/>
          <w:sz w:val="16"/>
        </w:rPr>
        <w:t>if verifiedExplicitVersionLink(c,e): return AddVersionToEntity(e)</w:t>
      </w:r>
    </w:p>
    <w:p>
      <w:pPr>
        <w:spacing w:after="20"/>
      </w:pPr>
      <w:r>
        <w:rPr>
          <w:rFonts w:ascii="DejaVu Sans Mono" w:hAnsi="DejaVu Sans Mono"/>
          <w:sz w:val="16"/>
        </w:rPr>
        <w:t>if noStableIdentifier(c) and exactTitleKey(c,e) and sameYear(c,e)</w:t>
      </w:r>
    </w:p>
    <w:p>
      <w:pPr>
        <w:spacing w:after="20"/>
      </w:pPr>
      <w:r>
        <w:rPr>
          <w:rFonts w:ascii="DejaVu Sans Mono" w:hAnsi="DejaVu Sans Mono"/>
          <w:sz w:val="16"/>
        </w:rPr>
        <w:t>and sameParticipantSet(c,e) and sameType(c,e) and noConflict(c,e):</w:t>
      </w:r>
    </w:p>
    <w:p>
      <w:pPr>
        <w:spacing w:after="20"/>
      </w:pPr>
      <w:r>
        <w:rPr>
          <w:rFonts w:ascii="DejaVu Sans Mono" w:hAnsi="DejaVu Sans Mono"/>
          <w:sz w:val="16"/>
        </w:rPr>
        <w:t>return MergeOrLinkWithEvidence(e)</w:t>
      </w:r>
    </w:p>
    <w:p>
      <w:pPr>
        <w:spacing w:after="20"/>
      </w:pPr>
      <w:r>
        <w:rPr>
          <w:rFonts w:ascii="DejaVu Sans Mono" w:hAnsi="DejaVu Sans Mono"/>
          <w:sz w:val="16"/>
        </w:rPr>
        <w:t>if candidates contain plausibleMatches: return Pending(c,candidates,reasons)</w:t>
      </w:r>
    </w:p>
    <w:p>
      <w:pPr>
        <w:spacing w:after="20"/>
      </w:pPr>
      <w:r>
        <w:rPr>
          <w:rFonts w:ascii="DejaVu Sans Mono" w:hAnsi="DejaVu Sans Mono"/>
          <w:sz w:val="16"/>
        </w:rPr>
        <w:t>return CreateNewCanonicalEntity(c, basis="no matched candidate")</w:t>
      </w:r>
    </w:p>
    <w:p>
      <w:pPr>
        <w:pStyle w:val="Heading2"/>
      </w:pPr>
      <w:r>
        <w:t>5.5 并发、错误、版本与复算边界</w:t>
      </w:r>
    </w:p>
    <w:p>
      <w:r>
        <w:rPr>
          <w:b w:val="0"/>
        </w:rPr>
        <w:t>在相同来源记录重复导入、两个重叠增量窗口或处理重试时，唯一逻辑出处保持一条，重复到达事件可多条；归并与来源映射应表现为全有或全无的生效结果；待审核未决时不猜测归并。版本关联既不能使有效作品被双计，也不能在无明示证据时静默压缩实体数。来源撤稿只影响相应版本/证据，不自动删除未撤回的正式版；误归并纠正需保留原决议链、重新计算受影响统计/检索/作者关系，不得按新结论修改历史原始证据。</w:t>
      </w:r>
    </w:p>
    <w:p>
      <w:pPr>
        <w:pStyle w:val="Heading2"/>
      </w:pPr>
      <w:r>
        <w:t>5.6 追踪</w:t>
      </w:r>
    </w:p>
    <w:p>
      <w:r>
        <w:rPr>
          <w:b w:val="0"/>
        </w:rPr>
        <w:t>DD-01/11 → FR09-S10（AC-01～04）、FR09-S06（AC-01）；DD-02/03/04 → FR09-S03（AC-03）、S06（AC-01～04）；DD-05/06/07/12 → FR09-S07（AC-01～04）；DD-08 → FR09-S08（AC-01～04）；DD-09 → FR09-S09（AC-01～05）；DD-10 → FR09-S12（AC-01～04）；人工路由 → FR09-S11（AC-01～05）。</w:t>
      </w:r>
    </w:p>
    <w:p>
      <w:pPr>
        <w:pStyle w:val="Heading1"/>
      </w:pPr>
      <w:r>
        <w:t>6. 学者消歧与成果归属（FR15）</w:t>
      </w:r>
    </w:p>
    <w:p>
      <w:pPr>
        <w:pStyle w:val="Heading2"/>
      </w:pPr>
      <w:r>
        <w:t>6.1 输入输出与前置条件</w:t>
      </w:r>
    </w:p>
    <w:p>
      <w:r>
        <w:rPr>
          <w:b w:val="0"/>
        </w:rPr>
        <w:t>输入：原始作者署名/次序、合作作者、机构（注明历史时间）、领域、外部 Scholar 标识、来源证据、已有 Scholar 与 Authorship、本人确认和管理员核验事件。输出：学者候选及证据、关系状态、关联/排除/纠正事件；先验证来源证据及公开范围，身份未明确也可保留作品的原始署名。不能从一次用户门户认领推出其拥有全部同名署名。</w:t>
      </w:r>
    </w:p>
    <w:p>
      <w:pPr>
        <w:pStyle w:val="Heading2"/>
      </w:pPr>
      <w:r>
        <w:t>6.2 判定与维护规则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2"/>
        <w:gridCol w:w="6610"/>
        <w:gridCol w:w="2509"/>
      </w:tblGrid>
      <w:tr>
        <w:trPr>
          <w:cantSplit/>
          <w:tblHeader/>
        </w:trPr>
        <w:tc>
          <w:tcPr>
            <w:tcW w:type="dxa" w:w="802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661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判定与边界</w:t>
            </w:r>
          </w:p>
        </w:tc>
        <w:tc>
          <w:tcPr>
            <w:tcW w:type="dxa" w:w="2509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ID-01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原始署名、规范化姓名与别名分别保存，保留语种、转写和署名顺序，不以同名当作唯一键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FR15-S01/S02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ID-02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外部学者标识须记录来源/命名空间/可信度；标识有效一致可支持关联，矛盾标识进入待核验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FR15-S02/S03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ID-03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同名异人：机构、领域、合作网络、时间、外部 ID 的冲突不能被姓名相同覆盖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FR15-S02/S03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ID-04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一人多名：别名/转写仅召回候选，需外部 ID 或多项相互支持证据，非自动事实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FR15-S02/S03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ID-05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多作者必须为每个作者分别形成 Authorship 候选，保留署名顺序、角色及多机构原值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FR15-S04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ID-06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自动关联、本人确认、待核验、争议、已排除分别记录变化原因；管理员审核单独作为证据事件；管理员审核不冒充本人确认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FR15-S05～S09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ID-07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门户认领审核只授予经批准的门户管理权限，不使所有成果关系自动变成本人确认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FR15-S06/JR-P0-03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ID-08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矛盾证据/争议关系保持待核验并保留原稳定状态，不因另一来源出现静默逆转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FR15-S10/S13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ID-09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纠错解除的是 Scholar-Work Authorship 关系，不删除全局 WorkEntity 或其他作者关系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FR15-S10～S12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ID-10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本人声明、管理员核验、来源自动归并使用不同审计类型，并保留旧关联及排除理由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FR15-S08～S12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ID-11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同一 Scholar–Work 对重复证据归入同一逻辑参与关系；多作者可共享一 WorkEntity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FR15-S04/FR09-S09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ID-12</w:t>
            </w:r>
          </w:p>
        </w:tc>
        <w:tc>
          <w:tcPr>
            <w:tcW w:type="dxa" w:w="66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原管理人权限不得因冲突认领请求自动转移；授权转移条件、申诉程序待评审</w:t>
            </w:r>
          </w:p>
        </w:tc>
        <w:tc>
          <w:tcPr>
            <w:tcW w:type="dxa" w:w="2509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FR15-S13（J03 条件验收）</w:t>
            </w:r>
          </w:p>
        </w:tc>
      </w:tr>
    </w:tbl>
    <w:p/>
    <w:p>
      <w:pPr>
        <w:pStyle w:val="Heading2"/>
      </w:pPr>
      <w:r>
        <w:t>6.3 判定决策表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3"/>
        <w:gridCol w:w="2311"/>
        <w:gridCol w:w="3148"/>
      </w:tblGrid>
      <w:tr>
        <w:trPr>
          <w:cantSplit/>
          <w:tblHeader/>
        </w:trPr>
        <w:tc>
          <w:tcPr>
            <w:tcW w:type="dxa" w:w="4463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情形</w:t>
            </w:r>
          </w:p>
        </w:tc>
        <w:tc>
          <w:tcPr>
            <w:tcW w:type="dxa" w:w="2311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身份判定</w:t>
            </w:r>
          </w:p>
        </w:tc>
        <w:tc>
          <w:tcPr>
            <w:tcW w:type="dxa" w:w="3148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参与关系输出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同姓名 + 外部 ID 冲突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不自动合并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待核验，保留两学者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同名 + 领域/机构不同但没有强证据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不能断言同人或异人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候选待核验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不同拼写 + 经核验外部 ID 一致、其他证据相容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可以形成同人候选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自动关联或按已审规则处理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本人确认某一篇作品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不更改其他作品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仅该关系为本人确认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管理员审核某一关系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不代表本人确认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独立管理员审核事件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关系已排除、同一来源再次到达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不自动恢复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已排除维持，证据累积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撤销一名作者参与关系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共享成果仍保留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该关系撤销，其他关系不变</w:t>
            </w:r>
          </w:p>
        </w:tc>
      </w:tr>
      <w:tr>
        <w:trPr>
          <w:cantSplit/>
        </w:trPr>
        <w:tc>
          <w:tcPr>
            <w:tcW w:type="dxa" w:w="446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新用户声称已被认领门户</w:t>
            </w:r>
          </w:p>
        </w:tc>
        <w:tc>
          <w:tcPr>
            <w:tcW w:type="dxa" w:w="23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不剥夺原权利</w:t>
            </w:r>
          </w:p>
        </w:tc>
        <w:tc>
          <w:tcPr>
            <w:tcW w:type="dxa" w:w="314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生成冲突处理项</w:t>
            </w:r>
          </w:p>
        </w:tc>
      </w:tr>
    </w:tbl>
    <w:p/>
    <w:p>
      <w:pPr>
        <w:pStyle w:val="Heading2"/>
      </w:pPr>
      <w:r>
        <w:t>6.4 算法流程/伪代码</w:t>
      </w:r>
    </w:p>
    <w:p>
      <w:pPr>
        <w:spacing w:after="20"/>
      </w:pPr>
      <w:r>
        <w:rPr>
          <w:rFonts w:ascii="DejaVu Sans Mono" w:hAnsi="DejaVu Sans Mono"/>
          <w:sz w:val="16"/>
        </w:rPr>
        <w:t>RESOLVE_AUTHOR(signature, work):</w:t>
      </w:r>
    </w:p>
    <w:p>
      <w:pPr>
        <w:spacing w:after="20"/>
      </w:pPr>
      <w:r>
        <w:rPr>
          <w:rFonts w:ascii="DejaVu Sans Mono" w:hAnsi="DejaVu Sans Mono"/>
          <w:sz w:val="16"/>
        </w:rPr>
        <w:t>keepOriginalSignatureAndOrder(signature, work)</w:t>
      </w:r>
    </w:p>
    <w:p>
      <w:pPr>
        <w:spacing w:after="20"/>
      </w:pPr>
      <w:r>
        <w:rPr>
          <w:rFonts w:ascii="DejaVu Sans Mono" w:hAnsi="DejaVu Sans Mono"/>
          <w:sz w:val="16"/>
        </w:rPr>
        <w:t>candidates = lookupByExternalScholarIdThenNameAliases(signature)</w:t>
      </w:r>
    </w:p>
    <w:p>
      <w:pPr>
        <w:spacing w:after="20"/>
      </w:pPr>
      <w:r>
        <w:rPr>
          <w:rFonts w:ascii="DejaVu Sans Mono" w:hAnsi="DejaVu Sans Mono"/>
          <w:sz w:val="16"/>
        </w:rPr>
        <w:t>evidence = compare(organizationAtWorkTime, domain, coauthors, publicationTime, externalIds)</w:t>
      </w:r>
    </w:p>
    <w:p>
      <w:pPr>
        <w:spacing w:after="20"/>
      </w:pPr>
      <w:r>
        <w:rPr>
          <w:rFonts w:ascii="DejaVu Sans Mono" w:hAnsi="DejaVu Sans Mono"/>
          <w:sz w:val="16"/>
        </w:rPr>
        <w:t>if authoritativeEvidenceConflicts(evidence): return PendingVerification(candidates,evidence)</w:t>
      </w:r>
    </w:p>
    <w:p>
      <w:pPr>
        <w:spacing w:after="20"/>
      </w:pPr>
      <w:r>
        <w:rPr>
          <w:rFonts w:ascii="DejaVu Sans Mono" w:hAnsi="DejaVu Sans Mono"/>
          <w:sz w:val="16"/>
        </w:rPr>
        <w:t>if previouslyExcluded(signature,work): return KeepExclusionWithNewEvidence()</w:t>
      </w:r>
    </w:p>
    <w:p>
      <w:pPr>
        <w:spacing w:after="20"/>
      </w:pPr>
      <w:r>
        <w:rPr>
          <w:rFonts w:ascii="DejaVu Sans Mono" w:hAnsi="DejaVu Sans Mono"/>
          <w:sz w:val="16"/>
        </w:rPr>
        <w:t>if corroboratedUniqueCandidateUnderApprovedRules(evidence):</w:t>
      </w:r>
    </w:p>
    <w:p>
      <w:pPr>
        <w:spacing w:after="20"/>
      </w:pPr>
      <w:r>
        <w:rPr>
          <w:rFonts w:ascii="DejaVu Sans Mono" w:hAnsi="DejaVu Sans Mono"/>
          <w:sz w:val="16"/>
        </w:rPr>
        <w:t>return UpsertAuthorship(candidate,work,state="auto-linked",evidence)</w:t>
      </w:r>
    </w:p>
    <w:p>
      <w:pPr>
        <w:spacing w:after="20"/>
      </w:pPr>
      <w:r>
        <w:rPr>
          <w:rFonts w:ascii="DejaVu Sans Mono" w:hAnsi="DejaVu Sans Mono"/>
          <w:sz w:val="16"/>
        </w:rPr>
        <w:t>return PendingVerification(candidates,evidence)</w:t>
      </w:r>
    </w:p>
    <w:p>
      <w:pPr>
        <w:spacing w:after="20"/>
      </w:pPr>
      <w:r>
        <w:rPr>
          <w:rFonts w:ascii="DejaVu Sans Mono" w:hAnsi="DejaVu Sans Mono"/>
          <w:sz w:val="16"/>
        </w:rPr>
        <w:t>ON_PERSON_CONFIRM(scholar,work): change ONLY authorized Authorship relation; audit source</w:t>
      </w:r>
    </w:p>
    <w:p>
      <w:pPr>
        <w:spacing w:after="20"/>
      </w:pPr>
      <w:r>
        <w:rPr>
          <w:rFonts w:ascii="DejaVu Sans Mono" w:hAnsi="DejaVu Sans Mono"/>
          <w:sz w:val="16"/>
        </w:rPr>
        <w:t>ON_ADMIN_REVIEW(...): record independent review, never substitute person confirmation</w:t>
      </w:r>
    </w:p>
    <w:p>
      <w:pPr>
        <w:spacing w:after="20"/>
      </w:pPr>
      <w:r>
        <w:rPr>
          <w:rFonts w:ascii="DejaVu Sans Mono" w:hAnsi="DejaVu Sans Mono"/>
          <w:sz w:val="16"/>
        </w:rPr>
        <w:t>ON_REMOVE_RELATION(...): revoke relation, preserve work and all other authorships</w:t>
      </w:r>
    </w:p>
    <w:p>
      <w:pPr>
        <w:pStyle w:val="Heading2"/>
      </w:pPr>
      <w:r>
        <w:t>6.5 待评审参数边界与追踪</w:t>
      </w:r>
    </w:p>
    <w:p>
      <w:r>
        <w:rPr>
          <w:b w:val="0"/>
        </w:rPr>
        <w:t xml:space="preserve">外部 ID 的充分性、姓名相似阈值、共同作者数量门槛、身份争议仲裁及门户授权转移均列为 </w:t>
      </w:r>
      <w:r>
        <w:rPr>
          <w:b/>
        </w:rPr>
        <w:t>待联合评审</w:t>
      </w:r>
      <w:r>
        <w:rPr>
          <w:b w:val="0"/>
        </w:rPr>
        <w:t>，不得做成默认自动确认。ID-01～04 → FR15-S01～S03；ID-05/11 → FR15-S04；ID-06/07 → FR15-S05～S09；ID-08～10 → FR15-S10～S12；ID-12 → FR15-S13。逐项 AC 仍以原分册为准，且 FR15-S13-03 明示条件尚未冻结，不得认定通过。</w:t>
      </w:r>
    </w:p>
    <w:p>
      <w:pPr>
        <w:pStyle w:val="Heading1"/>
      </w:pPr>
      <w:r>
        <w:t>7. 检索匹配及排序规则（FR01）</w:t>
      </w:r>
    </w:p>
    <w:p>
      <w:pPr>
        <w:pStyle w:val="Heading2"/>
      </w:pPr>
      <w:r>
        <w:t>7.1 范围、输入、输出、前置条件</w:t>
      </w:r>
    </w:p>
    <w:p>
      <w:r>
        <w:rPr>
          <w:b w:val="0"/>
        </w:rPr>
        <w:t>输入：query、scope=</w:t>
      </w:r>
      <w:r>
        <w:rPr>
          <w:rFonts w:ascii="DejaVu Sans Mono" w:hAnsi="DejaVu Sans Mono"/>
          <w:b w:val="0"/>
          <w:sz w:val="16"/>
        </w:rPr>
        <w:t>work|scholar</w:t>
      </w:r>
      <w:r>
        <w:rPr>
          <w:b w:val="0"/>
        </w:rPr>
        <w:t>、可用筛选条件（类型/年份/领域/机构）、sort、page、公开权限上下文、数据集快照标识、已生效实体与关系。输出：公开允许的结果、总数/分页、完整条件回显、排序规则版本、数据版本、失败/空结果标志。公开权限过滤必须在排序和计数前执行；内部来源受限字段不可作为访客可见片段。</w:t>
      </w:r>
    </w:p>
    <w:p>
      <w:pPr>
        <w:pStyle w:val="Heading2"/>
      </w:pPr>
      <w:r>
        <w:t>7.2 检索规则表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4"/>
        <w:gridCol w:w="7003"/>
        <w:gridCol w:w="2114"/>
      </w:tblGrid>
      <w:tr>
        <w:trPr>
          <w:cantSplit/>
          <w:tblHeader/>
        </w:trPr>
        <w:tc>
          <w:tcPr>
            <w:tcW w:type="dxa" w:w="80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7003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匹配与异常规则</w:t>
            </w:r>
          </w:p>
        </w:tc>
        <w:tc>
          <w:tcPr>
            <w:tcW w:type="dxa" w:w="211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SR-01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成果检索按 WorkEntity 检索并进入成果详情；学者按 Scholar 检索并进入门户，两个范围不混排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FR01-S01/S02/S10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SR-02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关键词候选字段：成果题名为基础；作者、摘要、关键词、专利/项目/奖项细分范围待 A01 冻结；学者基础字段为公开规范名及允许显示别名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细化候选 A01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SR-03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精确命中与模糊命中分级：仅正规化语义等价作精确；拼写近似为模糊召回，不能影响实体归并结论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细化候选 A01/A04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SR-04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同维度多选 OR、不同维度 AND 为可行候选；冻结前只承诺单值跨维度 AND 的 FR01-S07 行为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待联合评审 A03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SR-05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成果类型过滤仅用于成果；年份基于各类型批准的事件语义；缺时间不在指定年份中冒充命中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FR01-S03/S04；具体年边界待评审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SR-06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领域、机构使用批准分类别名；成果机构不得仅由作者当前单位推断为成果发生时单位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FR01-S05/S06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SR-07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公开范围/真实模拟标签先决；无公开授权不出现；未确认真实属性不能自动标真实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FR01-S01/S14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SR-08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默认推荐相关度候选按匹配层级、字段加权、稳定平局键；排序权重需 A04 签认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待联合评审 A04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SR-09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时间排序仅按可用且同一语义的时间键，缺失项靠后；同分依稳定类型+规范名称+实体 ID 破局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细化候选 A03/A04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SR-10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在固定数据快照、查询条件、权限和规则版本下，完整排序必须确定且可重复；跨更新页需快照或失效提示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细化候选 A04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SR-11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空结果不是服务失败；非法筛选明确指出字段；查询失败不返回误导性“无结果”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FR01-S11/S12</w:t>
            </w:r>
          </w:p>
        </w:tc>
      </w:tr>
      <w:tr>
        <w:trPr>
          <w:cantSplit/>
        </w:trPr>
        <w:tc>
          <w:tcPr>
            <w:tcW w:type="dxa" w:w="80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SR-12</w:t>
            </w:r>
          </w:p>
        </w:tc>
        <w:tc>
          <w:tcPr>
            <w:tcW w:type="dxa" w:w="7003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清除筛选条件重新查询；跳转使用结果实体的稳定 ID，不按同名重新查找</w:t>
            </w:r>
          </w:p>
        </w:tc>
        <w:tc>
          <w:tcPr>
            <w:tcW w:type="dxa" w:w="21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继承 FR01-S10/S13</w:t>
            </w:r>
          </w:p>
        </w:tc>
      </w:tr>
    </w:tbl>
    <w:p/>
    <w:p>
      <w:pPr>
        <w:pStyle w:val="Heading2"/>
      </w:pPr>
      <w:r>
        <w:t>7.3 推荐排序算法与候选参数（待联合评审）</w:t>
      </w:r>
    </w:p>
    <w:p>
      <w:r>
        <w:rPr>
          <w:b w:val="0"/>
        </w:rPr>
        <w:t xml:space="preserve">建议分阶段：合法性校验 → 数据快照 → 可公开对象过滤 → 关键词召回 → 组合筛选 → 相关度分层 → 全序比较 → 分页。匹配层级为 exact title / exact other allowed field / fuzzy；候选分数 </w:t>
      </w:r>
      <w:r>
        <w:rPr>
          <w:rFonts w:ascii="DejaVu Sans Mono" w:hAnsi="DejaVu Sans Mono"/>
          <w:b w:val="0"/>
          <w:sz w:val="16"/>
        </w:rPr>
        <w:t>0.6*title_match + 0.2*person_match + 0.1*field_match + 0.1*freshness</w:t>
      </w:r>
      <w:r>
        <w:rPr>
          <w:b w:val="0"/>
        </w:rPr>
        <w:t xml:space="preserve">（每分量 0～1），全部权重 </w:t>
      </w:r>
      <w:r>
        <w:rPr>
          <w:b/>
        </w:rPr>
        <w:t>待评审</w:t>
      </w:r>
      <w:r>
        <w:rPr>
          <w:b w:val="0"/>
        </w:rPr>
        <w:t xml:space="preserve">；只用于制定可复算测试集合，不得声称 V1.9 既定。空摘要不填 0 分等价于“内容不相关”，而是仅不贡献该字段项；是否重归一权重须评审。时间排序建议 </w:t>
      </w:r>
      <w:r>
        <w:rPr>
          <w:rFonts w:ascii="DejaVu Sans Mono" w:hAnsi="DejaVu Sans Mono"/>
          <w:b w:val="0"/>
          <w:sz w:val="16"/>
        </w:rPr>
        <w:t>time known first → time desc/asc → normalized title → canonical_id</w:t>
      </w:r>
      <w:r>
        <w:rPr>
          <w:b w:val="0"/>
        </w:rPr>
        <w:t xml:space="preserve">；相关度同分建议 </w:t>
      </w:r>
      <w:r>
        <w:rPr>
          <w:rFonts w:ascii="DejaVu Sans Mono" w:hAnsi="DejaVu Sans Mono"/>
          <w:b w:val="0"/>
          <w:sz w:val="16"/>
        </w:rPr>
        <w:t>match tier → total score desc → canonical time desc when comparable → normalized title asc → canonical_id asc</w:t>
      </w:r>
      <w:r>
        <w:rPr>
          <w:b w:val="0"/>
        </w:rPr>
        <w:t>。当时间的事件语义不同或不可信时只用确定的后续键打破平局。</w:t>
      </w:r>
    </w:p>
    <w:p>
      <w:pPr>
        <w:pStyle w:val="Heading2"/>
      </w:pPr>
      <w:r>
        <w:t>7.4 排序伪代码与一致性论证</w:t>
      </w:r>
    </w:p>
    <w:p>
      <w:pPr>
        <w:spacing w:after="20"/>
      </w:pPr>
      <w:r>
        <w:rPr>
          <w:rFonts w:ascii="DejaVu Sans Mono" w:hAnsi="DejaVu Sans Mono"/>
          <w:sz w:val="16"/>
        </w:rPr>
        <w:t>SEARCH(q, filter, sort, scope, permission, snapshot, rulesVersion):</w:t>
      </w:r>
    </w:p>
    <w:p>
      <w:pPr>
        <w:spacing w:after="20"/>
      </w:pPr>
      <w:r>
        <w:rPr>
          <w:rFonts w:ascii="DejaVu Sans Mono" w:hAnsi="DejaVu Sans Mono"/>
          <w:sz w:val="16"/>
        </w:rPr>
        <w:t>validateScopeAndFiltersOrReturnInvalid()</w:t>
      </w:r>
    </w:p>
    <w:p>
      <w:pPr>
        <w:spacing w:after="20"/>
      </w:pPr>
      <w:r>
        <w:rPr>
          <w:rFonts w:ascii="DejaVu Sans Mono" w:hAnsi="DejaVu Sans Mono"/>
          <w:sz w:val="16"/>
        </w:rPr>
        <w:t>candidates = getEntitiesAt(snapshot,scope)</w:t>
      </w:r>
    </w:p>
    <w:p>
      <w:pPr>
        <w:spacing w:after="20"/>
      </w:pPr>
      <w:r>
        <w:rPr>
          <w:rFonts w:ascii="DejaVu Sans Mono" w:hAnsi="DejaVu Sans Mono"/>
          <w:sz w:val="16"/>
        </w:rPr>
        <w:t>candidates = filterPublic(candidates,permission)</w:t>
      </w:r>
    </w:p>
    <w:p>
      <w:pPr>
        <w:spacing w:after="20"/>
      </w:pPr>
      <w:r>
        <w:rPr>
          <w:rFonts w:ascii="DejaVu Sans Mono" w:hAnsi="DejaVu Sans Mono"/>
          <w:sz w:val="16"/>
        </w:rPr>
        <w:t>matches = applyApprovedKeywordRules(candidates,q)</w:t>
      </w:r>
    </w:p>
    <w:p>
      <w:pPr>
        <w:spacing w:after="20"/>
      </w:pPr>
      <w:r>
        <w:rPr>
          <w:rFonts w:ascii="DejaVu Sans Mono" w:hAnsi="DejaVu Sans Mono"/>
          <w:sz w:val="16"/>
        </w:rPr>
        <w:t>matches = applyConjunctiveFilters(matches,filter)</w:t>
      </w:r>
    </w:p>
    <w:p>
      <w:pPr>
        <w:spacing w:after="20"/>
      </w:pPr>
      <w:r>
        <w:rPr>
          <w:rFonts w:ascii="DejaVu Sans Mono" w:hAnsi="DejaVu Sans Mono"/>
          <w:sz w:val="16"/>
        </w:rPr>
        <w:t>if queryFailed: return QueryFailed(not EmptyResult)</w:t>
      </w:r>
    </w:p>
    <w:p>
      <w:pPr>
        <w:spacing w:after="20"/>
      </w:pPr>
      <w:r>
        <w:rPr>
          <w:rFonts w:ascii="DejaVu Sans Mono" w:hAnsi="DejaVu Sans Mono"/>
          <w:sz w:val="16"/>
        </w:rPr>
        <w:t>keys = approvedSortKeys(matches,sort,rulesVersion)</w:t>
      </w:r>
    </w:p>
    <w:p>
      <w:pPr>
        <w:spacing w:after="20"/>
      </w:pPr>
      <w:r>
        <w:rPr>
          <w:rFonts w:ascii="DejaVu Sans Mono" w:hAnsi="DejaVu Sans Mono"/>
          <w:sz w:val="16"/>
        </w:rPr>
        <w:t>sortByTotalOrder(keys + [canonical_id ASC])</w:t>
      </w:r>
    </w:p>
    <w:p>
      <w:pPr>
        <w:spacing w:after="20"/>
      </w:pPr>
      <w:r>
        <w:rPr>
          <w:rFonts w:ascii="DejaVu Sans Mono" w:hAnsi="DejaVu Sans Mono"/>
          <w:sz w:val="16"/>
        </w:rPr>
        <w:t>return pageByStableCursorOrFrozenSnapshot(matches, snapshot, rulesVersion)</w:t>
      </w:r>
    </w:p>
    <w:p>
      <w:r>
        <w:rPr>
          <w:b/>
        </w:rPr>
        <w:t>可复核性原因：</w:t>
      </w:r>
      <w:r>
        <w:rPr>
          <w:b w:val="0"/>
        </w:rPr>
        <w:t xml:space="preserve"> 固定数据快照、权限、过滤词法、规则版本和分数算法的情况下，每个实体有确定匹配级别与排序键；最后用唯一 canonical_id 形成全序，所以并列记录的顺序不取决于输入扫描顺序。分页使用同一快照/游标才不会被中途新增记录插队。不同快照不能承诺完全相同结果；更新生效期限与 NF05 的 </w:t>
      </w:r>
      <w:r>
        <w:rPr>
          <w:rFonts w:ascii="DejaVu Sans Mono" w:hAnsi="DejaVu Sans Mono"/>
          <w:b w:val="0"/>
          <w:sz w:val="16"/>
        </w:rPr>
        <w:t>60 秒</w:t>
      </w:r>
      <w:r>
        <w:rPr>
          <w:b w:val="0"/>
        </w:rPr>
        <w:t xml:space="preserve"> 均属待评审目标。NF02 的 </w:t>
      </w:r>
      <w:r>
        <w:rPr>
          <w:rFonts w:ascii="DejaVu Sans Mono" w:hAnsi="DejaVu Sans Mono"/>
          <w:b w:val="0"/>
          <w:sz w:val="16"/>
        </w:rPr>
        <w:t>P95≤2 秒</w:t>
      </w:r>
      <w:r>
        <w:rPr>
          <w:b w:val="0"/>
        </w:rPr>
        <w:t xml:space="preserve"> 也是待评审目标，本文没有压测证据。</w:t>
      </w:r>
    </w:p>
    <w:p>
      <w:pPr>
        <w:pStyle w:val="Heading2"/>
      </w:pPr>
      <w:r>
        <w:t>7.5 追踪</w:t>
      </w:r>
    </w:p>
    <w:p>
      <w:r>
        <w:rPr>
          <w:b w:val="0"/>
        </w:rPr>
        <w:t>SR-01 → FR01-S01/S02/S10；SR-04/05/06 → FR01-S03～S07；SR-08～10 → FR01-S08/S09；SR-11 → FR01-S11/S12；SR-12 → FR01-S10/S13；SR-07 → FR01-S01/S14。对应验收 AC-FR01-S01-01～02、S02-01、S03-01、S04-01、S05-01、S06-01、S07-01、S08-01、S09-01、S10-01～02、S11-01、S12-01、S13-01、S14-01～02。A01～A06 仍为待决项。</w:t>
      </w:r>
    </w:p>
    <w:p>
      <w:pPr>
        <w:pStyle w:val="Heading1"/>
      </w:pPr>
      <w:r>
        <w:t>8. 跨模块交接、失败回退及不变量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28"/>
        <w:gridCol w:w="3271"/>
        <w:gridCol w:w="2172"/>
        <w:gridCol w:w="1850"/>
      </w:tblGrid>
      <w:tr>
        <w:trPr>
          <w:cantSplit/>
          <w:tblHeader/>
        </w:trPr>
        <w:tc>
          <w:tcPr>
            <w:tcW w:type="dxa" w:w="2628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交接</w:t>
            </w:r>
          </w:p>
        </w:tc>
        <w:tc>
          <w:tcPr>
            <w:tcW w:type="dxa" w:w="3271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输入对象及条件</w:t>
            </w:r>
          </w:p>
        </w:tc>
        <w:tc>
          <w:tcPr>
            <w:tcW w:type="dxa" w:w="2172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禁止发生</w:t>
            </w:r>
          </w:p>
        </w:tc>
        <w:tc>
          <w:tcPr>
            <w:tcW w:type="dxa" w:w="185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验收观察点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FR08/FR10/FR16 → FR09</w:t>
            </w:r>
          </w:p>
        </w:tc>
        <w:tc>
          <w:tcPr>
            <w:tcW w:type="dxa" w:w="327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带来源/类型/真实模拟标识的原始记录、时间事件及重试标识</w:t>
            </w:r>
          </w:p>
        </w:tc>
        <w:tc>
          <w:tcPr>
            <w:tcW w:type="dxa" w:w="217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把两次抓取当两个独立数据源</w:t>
            </w:r>
          </w:p>
        </w:tc>
        <w:tc>
          <w:tcPr>
            <w:tcW w:type="dxa" w:w="18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逻辑来源唯一、重复到达事件保留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FR09 → FR15</w:t>
            </w:r>
          </w:p>
        </w:tc>
        <w:tc>
          <w:tcPr>
            <w:tcW w:type="dxa" w:w="327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canonical 成果 ID、作者原署名、版本、来源与可用证据</w:t>
            </w:r>
          </w:p>
        </w:tc>
        <w:tc>
          <w:tcPr>
            <w:tcW w:type="dxa" w:w="217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去重结果直接代表学者身份已确认</w:t>
            </w:r>
          </w:p>
        </w:tc>
        <w:tc>
          <w:tcPr>
            <w:tcW w:type="dxa" w:w="18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可区分成果合并与关系确认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FR09/FR15 → FR01/FR02</w:t>
            </w:r>
          </w:p>
        </w:tc>
        <w:tc>
          <w:tcPr>
            <w:tcW w:type="dxa" w:w="327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生效成果、公开许可、归属状态、版本与来源</w:t>
            </w:r>
          </w:p>
        </w:tc>
        <w:tc>
          <w:tcPr>
            <w:tcW w:type="dxa" w:w="217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用待核验关联泄漏他人私人证据</w:t>
            </w:r>
          </w:p>
        </w:tc>
        <w:tc>
          <w:tcPr>
            <w:tcW w:type="dxa" w:w="18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访客只看到允许的结果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FR09/FR15 → FR11/FR12/IN01</w:t>
            </w:r>
          </w:p>
        </w:tc>
        <w:tc>
          <w:tcPr>
            <w:tcW w:type="dxa" w:w="327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去重实体标识、独立关系状态、真实模拟标签</w:t>
            </w:r>
          </w:p>
        </w:tc>
        <w:tc>
          <w:tcPr>
            <w:tcW w:type="dxa" w:w="217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待核验关系抹掉成果计数；用任何成果替代共同论文</w:t>
            </w:r>
          </w:p>
        </w:tc>
        <w:tc>
          <w:tcPr>
            <w:tcW w:type="dxa" w:w="18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统计实体总量与合作证据分别计算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FR14/FR07 → 治理与检索</w:t>
            </w:r>
          </w:p>
        </w:tc>
        <w:tc>
          <w:tcPr>
            <w:tcW w:type="dxa" w:w="327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经权限校验的审核/纠错生效事件</w:t>
            </w:r>
          </w:p>
        </w:tc>
        <w:tc>
          <w:tcPr>
            <w:tcW w:type="dxa" w:w="217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自动更新静默覆盖人工确认</w:t>
            </w:r>
          </w:p>
        </w:tc>
        <w:tc>
          <w:tcPr>
            <w:tcW w:type="dxa" w:w="185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审计与刷新前后版本可追溯</w:t>
            </w:r>
          </w:p>
        </w:tc>
      </w:tr>
    </w:tbl>
    <w:p/>
    <w:p>
      <w:r>
        <w:rPr>
          <w:b w:val="0"/>
        </w:rPr>
        <w:t>失败规则：清洗可选字段失败保留部分结果并明确标记；关键字段失败拒绝生效并入异常；匹配证据冲突保持先前已生效的可用数据并待核验；归并事务失败不暴露部分迁移；查询失败与空结果分离；生效/缓存刷新失败不得谎称新版本已公开。</w:t>
      </w:r>
    </w:p>
    <w:p>
      <w:pPr>
        <w:pStyle w:val="Heading1"/>
      </w:pPr>
      <w:r>
        <w:t>9. 固定算法测试样例与预期输出</w:t>
      </w:r>
    </w:p>
    <w:p>
      <w:r>
        <w:rPr>
          <w:b w:val="0"/>
        </w:rPr>
        <w:t>以下 T01～T30 仅为</w:t>
      </w:r>
      <w:r>
        <w:rPr>
          <w:b/>
        </w:rPr>
        <w:t>规范层面桌面推演样例</w:t>
      </w:r>
      <w:r>
        <w:rPr>
          <w:b w:val="0"/>
        </w:rPr>
        <w:t>，没有对运行中的软件执行自动测试、集成测试或性能测试。每项可用相同固定数据构造 Given/When/Then 并由人工/程序核对。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4"/>
        <w:gridCol w:w="2067"/>
        <w:gridCol w:w="4134"/>
        <w:gridCol w:w="2067"/>
      </w:tblGrid>
      <w:tr>
        <w:trPr>
          <w:cantSplit/>
          <w:tblHeader/>
        </w:trPr>
        <w:tc>
          <w:tcPr>
            <w:tcW w:type="dxa" w:w="165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案例</w:t>
            </w:r>
          </w:p>
        </w:tc>
        <w:tc>
          <w:tcPr>
            <w:tcW w:type="dxa" w:w="2067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输入与前置</w:t>
            </w:r>
          </w:p>
        </w:tc>
        <w:tc>
          <w:tcPr>
            <w:tcW w:type="dxa" w:w="413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预期结果（唯一判定）</w:t>
            </w:r>
          </w:p>
        </w:tc>
        <w:tc>
          <w:tcPr>
            <w:tcW w:type="dxa" w:w="2067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规则/AC</w:t>
            </w:r>
          </w:p>
        </w:tc>
      </w:tr>
    </w:tbl>
    <w:p/>
    <w:p>
      <w:r>
        <w:rPr>
          <w:b w:val="0"/>
        </w:rPr>
        <w:t xml:space="preserve">| T01 | 论文标题 </w:t>
      </w:r>
      <w:r>
        <w:rPr>
          <w:rFonts w:ascii="DejaVu Sans Mono" w:hAnsi="DejaVu Sans Mono"/>
          <w:b w:val="0"/>
          <w:sz w:val="16"/>
        </w:rPr>
        <w:t xml:space="preserve"> Attention  Is All You Need </w:t>
      </w:r>
      <w:r>
        <w:rPr>
          <w:b w:val="0"/>
        </w:rPr>
        <w:t xml:space="preserve"> | 比对键 </w:t>
      </w:r>
      <w:r>
        <w:rPr>
          <w:rFonts w:ascii="DejaVu Sans Mono" w:hAnsi="DejaVu Sans Mono"/>
          <w:b w:val="0"/>
          <w:sz w:val="16"/>
        </w:rPr>
        <w:t>Attention Is All You Need</w:t>
      </w:r>
      <w:r>
        <w:rPr>
          <w:b w:val="0"/>
        </w:rPr>
        <w:t>，原字符串保留 | CL-01/02 · AC-FR09-S01-01 |</w:t>
      </w:r>
    </w:p>
    <w:p>
      <w:r>
        <w:rPr>
          <w:b w:val="0"/>
        </w:rPr>
        <w:t>| T02 | 论文标题缺失，其它字段足够猜测 | 异常待处理；公开检索无此记录；不得补造标题 | CL-01 · AC-FR09-S01-02/04 |</w:t>
      </w:r>
    </w:p>
    <w:p>
      <w:r>
        <w:rPr>
          <w:b w:val="0"/>
        </w:rPr>
        <w:t>| T03 | 论文摘要与关键词缺失，其余必填完整 | 有效；两个可选字段标未知，无异常 | CL-08 · AC-FR09-S01-03 |</w:t>
      </w:r>
    </w:p>
    <w:p>
      <w:r>
        <w:rPr>
          <w:b w:val="0"/>
        </w:rPr>
        <w:t xml:space="preserve">| T04 | 论文日期 </w:t>
      </w:r>
      <w:r>
        <w:rPr>
          <w:rFonts w:ascii="DejaVu Sans Mono" w:hAnsi="DejaVu Sans Mono"/>
          <w:b w:val="0"/>
          <w:sz w:val="16"/>
        </w:rPr>
        <w:t>2023</w:t>
      </w:r>
      <w:r>
        <w:rPr>
          <w:b w:val="0"/>
        </w:rPr>
        <w:t xml:space="preserve"> | 精度年，仅 2023，不造 2023-01-01 | CL-06 · AC-FR09-S02-01 |</w:t>
      </w:r>
    </w:p>
    <w:p>
      <w:r>
        <w:rPr>
          <w:b w:val="0"/>
        </w:rPr>
        <w:t xml:space="preserve">| T05 | 专利公开日期 </w:t>
      </w:r>
      <w:r>
        <w:rPr>
          <w:rFonts w:ascii="DejaVu Sans Mono" w:hAnsi="DejaVu Sans Mono"/>
          <w:b w:val="0"/>
          <w:sz w:val="16"/>
        </w:rPr>
        <w:t>2023/5/9</w:t>
      </w:r>
      <w:r>
        <w:rPr>
          <w:b w:val="0"/>
        </w:rPr>
        <w:t xml:space="preserve"> | 事件为公开，精度日，规范日期 2023-05-09，原值保留 | CL-06 · AC-FR09-S02-02 |</w:t>
      </w:r>
    </w:p>
    <w:p>
      <w:r>
        <w:rPr>
          <w:b w:val="0"/>
        </w:rPr>
        <w:t xml:space="preserve">| T06 | 科研项目日期 </w:t>
      </w:r>
      <w:r>
        <w:rPr>
          <w:rFonts w:ascii="DejaVu Sans Mono" w:hAnsi="DejaVu Sans Mono"/>
          <w:b w:val="0"/>
          <w:sz w:val="16"/>
        </w:rPr>
        <w:t>2023-02-30</w:t>
      </w:r>
      <w:r>
        <w:rPr>
          <w:b w:val="0"/>
        </w:rPr>
        <w:t xml:space="preserve"> | 异常待处理；无生效日期 | CL-06 · AC-FR09-S02-03 |</w:t>
      </w:r>
    </w:p>
    <w:p>
      <w:r>
        <w:rPr>
          <w:b w:val="0"/>
        </w:rPr>
        <w:t xml:space="preserve">| T07 | 获奖日期 </w:t>
      </w:r>
      <w:r>
        <w:rPr>
          <w:rFonts w:ascii="DejaVu Sans Mono" w:hAnsi="DejaVu Sans Mono"/>
          <w:b w:val="0"/>
          <w:sz w:val="16"/>
        </w:rPr>
        <w:t>05/06/2023</w:t>
      </w:r>
      <w:r>
        <w:rPr>
          <w:b w:val="0"/>
        </w:rPr>
        <w:t xml:space="preserve"> 且来源未说明顺序 | 待核验，不生成发生日期 | CL-06 · AC-FR09-S02-04 |</w:t>
      </w:r>
    </w:p>
    <w:p>
      <w:r>
        <w:rPr>
          <w:b w:val="0"/>
        </w:rPr>
        <w:t>| T08 | 论文年份 2099 | 待核验，原因日期可疑 | CL-06 · AC-FR09-S02-05 |</w:t>
      </w:r>
    </w:p>
    <w:p>
      <w:r>
        <w:rPr>
          <w:b w:val="0"/>
        </w:rPr>
        <w:t>| T09 | 两条 DOI：</w:t>
      </w:r>
      <w:r>
        <w:rPr>
          <w:rFonts w:ascii="DejaVu Sans Mono" w:hAnsi="DejaVu Sans Mono"/>
          <w:b w:val="0"/>
          <w:sz w:val="16"/>
        </w:rPr>
        <w:t>https://doi.org/10.1000/ABC</w:t>
      </w:r>
      <w:r>
        <w:rPr>
          <w:b w:val="0"/>
        </w:rPr>
        <w:t xml:space="preserve"> / </w:t>
      </w:r>
      <w:r>
        <w:rPr>
          <w:rFonts w:ascii="DejaVu Sans Mono" w:hAnsi="DejaVu Sans Mono"/>
          <w:b w:val="0"/>
          <w:sz w:val="16"/>
        </w:rPr>
        <w:t>10.1000/abc</w:t>
      </w:r>
      <w:r>
        <w:rPr>
          <w:b w:val="0"/>
        </w:rPr>
        <w:t xml:space="preserve"> | 规范键相同，原值各保留 | CL-03 · AC-FR09-S03-01 |</w:t>
      </w:r>
    </w:p>
    <w:p>
      <w:r>
        <w:rPr>
          <w:b w:val="0"/>
        </w:rPr>
        <w:t>| T10 | 专利号与另一个实体论文 DOI 误指冲突 | 待核验，不跨类型自动连接 | CL-04/DD-02 · AC-FR09-S03-03 |</w:t>
      </w:r>
    </w:p>
    <w:p>
      <w:r>
        <w:rPr>
          <w:b w:val="0"/>
        </w:rPr>
        <w:t xml:space="preserve">| T11 | 机构 </w:t>
      </w:r>
      <w:r>
        <w:rPr>
          <w:rFonts w:ascii="DejaVu Sans Mono" w:hAnsi="DejaVu Sans Mono"/>
          <w:b w:val="0"/>
          <w:sz w:val="16"/>
        </w:rPr>
        <w:t xml:space="preserve">清华大学 </w:t>
      </w:r>
      <w:r>
        <w:rPr>
          <w:b w:val="0"/>
        </w:rPr>
        <w:t xml:space="preserve"> 有已批准别名映射 | 规范名映射成功、原字符串保留 | CL-05 · AC-FR09-S04-01 |</w:t>
      </w:r>
    </w:p>
    <w:p>
      <w:r>
        <w:rPr>
          <w:b w:val="0"/>
        </w:rPr>
        <w:t>| T12 | 未知机构、领域字典不可用 | 机构和领域未映射，处理不中断，管理员有提示 | CL-05 · AC-FR09-S04-04 |</w:t>
      </w:r>
    </w:p>
    <w:p>
      <w:r>
        <w:rPr>
          <w:b w:val="0"/>
        </w:rPr>
        <w:t>| T13 | 已确认论文载体 A，新来源报告 B | 继续展示 A，生成待核验冲突项、保留 B 证据 | CL-09 · AC-FR09-S05-01 |</w:t>
      </w:r>
    </w:p>
    <w:p>
      <w:r>
        <w:rPr>
          <w:b w:val="0"/>
        </w:rPr>
        <w:t>| T14 | 已有唯一 DOI 实体 E，新来源同 DOI | 关联 E，新出处 +1，实体总数 +0 | DD-03 · AC-FR09-S06-01 |</w:t>
      </w:r>
    </w:p>
    <w:p>
      <w:r>
        <w:rPr>
          <w:b w:val="0"/>
        </w:rPr>
        <w:t>| T15 | 历史 E/F 均持有同一 DOI | 待核验，展示 E/F，自动合并 +0 | DD-04 · AC-FR09-S06-02 |</w:t>
      </w:r>
    </w:p>
    <w:p>
      <w:r>
        <w:rPr>
          <w:b w:val="0"/>
        </w:rPr>
        <w:t>| T16 | 无 ID、同题但年份相差 3 年 | 疑似重复待核验，绝不自动合并 | DD-07 · AC-FR09-S07-01 |</w:t>
      </w:r>
    </w:p>
    <w:p>
      <w:r>
        <w:rPr>
          <w:b w:val="0"/>
        </w:rPr>
        <w:t>| T17 | 无 ID，同类型/规范标题/年份/参与者集合完全一致且无冲突 | 自动归并，证据列出四项命中 | DD-06 · AC-FR09-S07-02 |</w:t>
      </w:r>
    </w:p>
    <w:p>
      <w:r>
        <w:rPr>
          <w:b w:val="0"/>
        </w:rPr>
        <w:t>| T18 | 标题 Editorial 召回 50 候选 | 待核验，提示候选过多及显示裁剪 | DD-12 · AC-FR09-S07-03 |</w:t>
      </w:r>
    </w:p>
    <w:p>
      <w:r>
        <w:rPr>
          <w:b w:val="0"/>
        </w:rPr>
        <w:t>| T19 | 明确来源版本链接：预印本→正式版 | 同一成果实体两个版本，实体数不变 | DD-08 · AC-FR09-S08-01 |</w:t>
      </w:r>
    </w:p>
    <w:p>
      <w:r>
        <w:rPr>
          <w:b w:val="0"/>
        </w:rPr>
        <w:t>| T20 | 疑似同一论文修订版但无显式版本证据 | 两实体暂独立，标可能版本关联且待核验 | DD-08 · AC-FR09-S08-02 |</w:t>
      </w:r>
    </w:p>
    <w:p>
      <w:r>
        <w:rPr>
          <w:b w:val="0"/>
        </w:rPr>
        <w:t>| T21 | A 合并 B 后重复导入 A 的同一来源记录 | 仍指向 B，出处不重复、合并链可查 | DD-01/09 · AC-FR09-S09-02/S10-01 |</w:t>
      </w:r>
    </w:p>
    <w:p>
      <w:r>
        <w:rPr>
          <w:b w:val="0"/>
        </w:rPr>
        <w:t>| T22 | 同源记录跨两个重叠采集窗口各到达一次 | 仅 1 个逻辑出处、2 个到达事件 | DD-11 · AC-FR09-S10-03 |</w:t>
      </w:r>
    </w:p>
    <w:p>
      <w:r>
        <w:rPr>
          <w:b w:val="0"/>
        </w:rPr>
        <w:t>| T23 | 两位王明同名，可靠外部学者 ID 不同 | 两个 Scholar 不自动合并，身份冲突待核验 | ID-01/03 · FR15-S02/S03 |</w:t>
      </w:r>
    </w:p>
    <w:p>
      <w:r>
        <w:rPr>
          <w:b w:val="0"/>
        </w:rPr>
        <w:t>| T24 | 同一作者有中文名和拼音，只有拼写相似 | 生成候选，不自动认定同一学者 | ID-04 · FR15-S02/S03 |</w:t>
      </w:r>
    </w:p>
    <w:p>
      <w:r>
        <w:rPr>
          <w:b w:val="0"/>
        </w:rPr>
        <w:t>| T25 | 一篇论文 3 名作者、2 家机构 | 1 个 WorkEntity，3 条独立署名/关系候选，多机构原值保留 | ID-05 · FR15-S04 |</w:t>
      </w:r>
    </w:p>
    <w:p>
      <w:r>
        <w:rPr>
          <w:b w:val="0"/>
        </w:rPr>
        <w:t>| T26 | 门户被 A 认领，B 申请同一门户 | A 的原授权不变；B 的申请入冲突队列 | ID-07/12 · AC-FR15-S13-01 |</w:t>
      </w:r>
    </w:p>
    <w:p>
      <w:r>
        <w:rPr>
          <w:b w:val="0"/>
        </w:rPr>
        <w:t>| T27 | 解除 A 与多人共同成果 W 的关系 | W 和其他作者关联仍保留；A 关系状态更新并审计 | ID-09 · FR15-S10/S12 |</w:t>
      </w:r>
    </w:p>
    <w:p>
      <w:r>
        <w:rPr>
          <w:b w:val="0"/>
        </w:rPr>
        <w:t>| T28 | 成果 W1 公开，W2 受限，关键词都匹配 | 结果仅 W1；结果数为 1 | SR-07 · AC-FR01-S01-01 |</w:t>
      </w:r>
    </w:p>
    <w:p>
      <w:r>
        <w:rPr>
          <w:b w:val="0"/>
        </w:rPr>
        <w:t>| T29 | 固定公开实体 W01/W02 同得分同时间同名，ID W01&lt;W02 | W01 始终排在 W02 之前；换输入顺序不改变输出 | SR-10 · AC-FR01-S08-01 |</w:t>
      </w:r>
    </w:p>
    <w:p>
      <w:r>
        <w:rPr>
          <w:b w:val="0"/>
        </w:rPr>
        <w:t>| T30 | 排序后的 5 个公开实体，N=2，同一快照 | 页 1/2/3 数量分别 2/2/1，无重无漏 | SR-10 · AC-FR01-S09-01 |</w:t>
      </w:r>
    </w:p>
    <w:p>
      <w:r>
        <w:rPr>
          <w:b w:val="0"/>
        </w:rPr>
        <w:t>| T31 | 筛选论文+2023+领域甲+机构甲，一记录只有 3 条符合 | 不命中，跨维度条件全满足才命中 | SR-04 · AC-FR01-S07-01 |</w:t>
      </w:r>
    </w:p>
    <w:p>
      <w:r>
        <w:rPr>
          <w:b w:val="0"/>
        </w:rPr>
        <w:t>| T32 | 数据无命中且查询成功 | 返回无匹配，不返回失败，不放宽条件 | SR-11 · AC-FR01-S11-01 |</w:t>
      </w:r>
    </w:p>
    <w:p>
      <w:r>
        <w:rPr>
          <w:b w:val="0"/>
        </w:rPr>
        <w:t>| T33 | 查询执行失败 | 返回查询失败，不返回无结果 | SR-11 · AC-FR01-S12-01 |</w:t>
      </w:r>
    </w:p>
    <w:p>
      <w:r>
        <w:rPr>
          <w:b w:val="0"/>
        </w:rPr>
        <w:t>| T34 | 符合检索关键词的模拟成果且允许公开 | 明确标模拟，不升级为真实 | SR-07 · AC-FR01-S14-01 |</w:t>
      </w:r>
    </w:p>
    <w:p>
      <w:r>
        <w:rPr>
          <w:b w:val="0"/>
        </w:rPr>
        <w:t>| T35 | 成果 W1 发生时甲单位，学者现在乙单位，按乙筛选 | W1 不因其当前单位乙而命中 | SR-06 · AC-FR01-S06-01 |</w:t>
      </w:r>
    </w:p>
    <w:p>
      <w:r>
        <w:rPr>
          <w:b w:val="0"/>
        </w:rPr>
        <w:t>| T36 | 人工确认关系之外的同学者其余 N 条作者署名 | N 条关系不得仅凭该一次确认升级为本人确认 | ID-06/07 · FR15-S06/S08 |</w:t>
      </w:r>
    </w:p>
    <w:p>
      <w:r>
        <w:rPr>
          <w:b/>
        </w:rPr>
        <w:t>固定排序专用数据（仅在候选排序 SR-08/09 获联合评审采用时生效）：</w:t>
      </w:r>
      <w:r>
        <w:rPr>
          <w:b w:val="0"/>
        </w:rPr>
        <w:t xml:space="preserve"> 同权限公开实体 W01（题名 Alpha、2023、精确标题）、W02（题名 Beta、2024、模糊标题）、W03（题名 Alpha、2023、精确标题）。若精确标题层级优先，则预期 </w:t>
      </w:r>
      <w:r>
        <w:rPr>
          <w:rFonts w:ascii="DejaVu Sans Mono" w:hAnsi="DejaVu Sans Mono"/>
          <w:b w:val="0"/>
          <w:sz w:val="16"/>
        </w:rPr>
        <w:t>W01, W03, W02</w:t>
      </w:r>
      <w:r>
        <w:rPr>
          <w:b w:val="0"/>
        </w:rPr>
        <w:t xml:space="preserve">；W01/W03 由 canonical_id 破局；选择时间降序且使用同一已批准发生日期事件，则预期 </w:t>
      </w:r>
      <w:r>
        <w:rPr>
          <w:rFonts w:ascii="DejaVu Sans Mono" w:hAnsi="DejaVu Sans Mono"/>
          <w:b w:val="0"/>
          <w:sz w:val="16"/>
        </w:rPr>
        <w:t>W02, W01, W03</w:t>
      </w:r>
      <w:r>
        <w:rPr>
          <w:b w:val="0"/>
        </w:rPr>
        <w:t>。</w:t>
      </w:r>
      <w:r>
        <w:rPr>
          <w:b/>
        </w:rPr>
        <w:t>该输出是推荐算法的确定性规范样例，不是已签认的产品排序承诺。</w:t>
      </w:r>
    </w:p>
    <w:p>
      <w:pPr>
        <w:pStyle w:val="Heading1"/>
      </w:pPr>
      <w:r>
        <w:t>10. 需求追踪矩阵与验收口径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10"/>
        <w:gridCol w:w="1611"/>
        <w:gridCol w:w="5252"/>
        <w:gridCol w:w="934"/>
        <w:gridCol w:w="1214"/>
      </w:tblGrid>
      <w:tr>
        <w:trPr>
          <w:cantSplit/>
          <w:tblHeader/>
        </w:trPr>
        <w:tc>
          <w:tcPr>
            <w:tcW w:type="dxa" w:w="91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SPEC 范围</w:t>
            </w:r>
          </w:p>
        </w:tc>
        <w:tc>
          <w:tcPr>
            <w:tcW w:type="dxa" w:w="1611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SRS 子需求范围</w:t>
            </w:r>
          </w:p>
        </w:tc>
        <w:tc>
          <w:tcPr>
            <w:tcW w:type="dxa" w:w="5252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核心 AC（完整编号见责任分册）</w:t>
            </w:r>
          </w:p>
        </w:tc>
        <w:tc>
          <w:tcPr>
            <w:tcW w:type="dxa" w:w="93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固定测试</w:t>
            </w:r>
          </w:p>
        </w:tc>
        <w:tc>
          <w:tcPr>
            <w:tcW w:type="dxa" w:w="1214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评审状态</w:t>
            </w:r>
          </w:p>
        </w:tc>
      </w:tr>
      <w:tr>
        <w:trPr>
          <w:cantSplit/>
        </w:trPr>
        <w:tc>
          <w:tcPr>
            <w:tcW w:type="dxa" w:w="9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CL-01～12</w:t>
            </w:r>
          </w:p>
        </w:tc>
        <w:tc>
          <w:tcPr>
            <w:tcW w:type="dxa" w:w="16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FR09-S01～S05、S10、S12</w:t>
            </w:r>
          </w:p>
        </w:tc>
        <w:tc>
          <w:tcPr>
            <w:tcW w:type="dxa" w:w="525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AC-FR09-S01-01～04、S02-01～05、S03-01～04、S04-01～04、S05-01～05、S10-01～04、S12-01～04</w:t>
            </w:r>
          </w:p>
        </w:tc>
        <w:tc>
          <w:tcPr>
            <w:tcW w:type="dxa" w:w="93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T01～T13、T22</w:t>
            </w:r>
          </w:p>
        </w:tc>
        <w:tc>
          <w:tcPr>
            <w:tcW w:type="dxa" w:w="12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DD-01～12</w:t>
            </w:r>
          </w:p>
        </w:tc>
        <w:tc>
          <w:tcPr>
            <w:tcW w:type="dxa" w:w="16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FR09-S03、S06～S12</w:t>
            </w:r>
          </w:p>
        </w:tc>
        <w:tc>
          <w:tcPr>
            <w:tcW w:type="dxa" w:w="525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AC-FR09-S06-01～04、S07-01～04、S08-01～04、S09-01～05、S10-01～04、S11-01～05、S12-01～04</w:t>
            </w:r>
          </w:p>
        </w:tc>
        <w:tc>
          <w:tcPr>
            <w:tcW w:type="dxa" w:w="93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T14～T22</w:t>
            </w:r>
          </w:p>
        </w:tc>
        <w:tc>
          <w:tcPr>
            <w:tcW w:type="dxa" w:w="12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Draft，候选参数待评审</w:t>
            </w:r>
          </w:p>
        </w:tc>
      </w:tr>
      <w:tr>
        <w:trPr>
          <w:cantSplit/>
        </w:trPr>
        <w:tc>
          <w:tcPr>
            <w:tcW w:type="dxa" w:w="9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ID-01～12</w:t>
            </w:r>
          </w:p>
        </w:tc>
        <w:tc>
          <w:tcPr>
            <w:tcW w:type="dxa" w:w="16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FR15-S01～S13</w:t>
            </w:r>
          </w:p>
        </w:tc>
        <w:tc>
          <w:tcPr>
            <w:tcW w:type="dxa" w:w="525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AC-FR15-Sxx-yy 按成员03分册逐条核对；S13-03 条件未满足</w:t>
            </w:r>
          </w:p>
        </w:tc>
        <w:tc>
          <w:tcPr>
            <w:tcW w:type="dxa" w:w="93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T23～T27、T36</w:t>
            </w:r>
          </w:p>
        </w:tc>
        <w:tc>
          <w:tcPr>
            <w:tcW w:type="dxa" w:w="12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Draft，授权争议待评审</w:t>
            </w:r>
          </w:p>
        </w:tc>
      </w:tr>
      <w:tr>
        <w:trPr>
          <w:cantSplit/>
        </w:trPr>
        <w:tc>
          <w:tcPr>
            <w:tcW w:type="dxa" w:w="91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SR-01～12</w:t>
            </w:r>
          </w:p>
        </w:tc>
        <w:tc>
          <w:tcPr>
            <w:tcW w:type="dxa" w:w="1611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FR01-S01～S14</w:t>
            </w:r>
          </w:p>
        </w:tc>
        <w:tc>
          <w:tcPr>
            <w:tcW w:type="dxa" w:w="5252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AC-FR01-S01-01～02、S02-01、S03～09-01、S10-01～02、S11～13-01、S14-01～02</w:t>
            </w:r>
          </w:p>
        </w:tc>
        <w:tc>
          <w:tcPr>
            <w:tcW w:type="dxa" w:w="93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T28～T35</w:t>
            </w:r>
          </w:p>
        </w:tc>
        <w:tc>
          <w:tcPr>
            <w:tcW w:type="dxa" w:w="1214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Draft，A01～A06 待评审</w:t>
            </w:r>
          </w:p>
        </w:tc>
      </w:tr>
    </w:tbl>
    <w:p/>
    <w:p>
      <w:r>
        <w:rPr>
          <w:b/>
        </w:rPr>
        <w:t>验收门槛：</w:t>
      </w:r>
      <w:r>
        <w:rPr>
          <w:b w:val="0"/>
        </w:rPr>
        <w:t xml:space="preserve"> 规则覆盖和测试预期属于文档静态审核；运行验证须由后续实现/测试团队执行相同数据、比较实体数/字段/状态/来源与排序。所有 AC 标记为计划核验而非已通过。Optional 相似论文推荐 O01 和个性化推荐 O02 不因本 SPEC 成为 Must。NF02 P95 与 NF05 时限均未实测。</w:t>
      </w:r>
    </w:p>
    <w:p>
      <w:pPr>
        <w:pStyle w:val="Heading1"/>
      </w:pPr>
      <w:r>
        <w:t>11. 待决规则、跨文档风险与评审建议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78"/>
        <w:gridCol w:w="4488"/>
        <w:gridCol w:w="2180"/>
        <w:gridCol w:w="1875"/>
      </w:tblGrid>
      <w:tr>
        <w:trPr>
          <w:cantSplit/>
          <w:tblHeader/>
        </w:trPr>
        <w:tc>
          <w:tcPr>
            <w:tcW w:type="dxa" w:w="1378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待决 ID</w:t>
            </w:r>
          </w:p>
        </w:tc>
        <w:tc>
          <w:tcPr>
            <w:tcW w:type="dxa" w:w="4488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争议 / 应决议口径</w:t>
            </w:r>
          </w:p>
        </w:tc>
        <w:tc>
          <w:tcPr>
            <w:tcW w:type="dxa" w:w="2180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牵头参考</w:t>
            </w:r>
          </w:p>
        </w:tc>
        <w:tc>
          <w:tcPr>
            <w:tcW w:type="dxa" w:w="1875"/>
            <w:vAlign w:val="center"/>
            <w:shd w:fill="E8EDF2"/>
          </w:tcPr>
          <w:p>
            <w:pPr>
              <w:spacing w:before="40" w:after="40" w:line="252" w:lineRule="auto"/>
            </w:pPr>
            <w:r>
              <w:rPr>
                <w:b/>
                <w:sz w:val="17"/>
              </w:rPr>
              <w:t>冻结前措施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Q-SPEC-01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稳定标识冲突优先级、无标识相似度阈值及分类型误合并容忍率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JR-P1-05、成员02/03/01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DD-03～08 的推荐参数不生效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Q-SPEC-02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预印本/正式版合并证据、错误合并后拆分迁移资格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JR-P1-05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无明示证据不自动合并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Q-SPEC-03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四类时间语义最终共同字段表、机构发生时归属与领域层级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JR-P1-13、成员02/03/05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保留原语义并标注待审核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Q-SPEC-04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真实、模拟、混合来源在统计、规模及合作论文中的资格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JR-P1-06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标识不混淆，不用模拟证据冒充真实论文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Q-SPEC-05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学者争议仲裁、门户权限转移、管理员审核对本人确认的影响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JR-P0-03、FR15-S13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原权限保持、关联待核验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Q-SPEC-06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A01 可检字段、A02 默认查询范围、A03 多选与年份、A04 排序/分页、A05 模拟筛选、A06 字段公开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成员01、FR01 Draft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使用候选策略，须先签认后验收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Q-SPEC-07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NF02 P95 2 秒、NF05 正常 60 秒的实测条件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JR-P1-07、成员01/06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不描述已通过压测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Q-SPEC-08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重复实体计数、待核验作者关系参与机构排名与合作网络资格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JR-P1-06/13、成员03/05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成果资格和关系资格分离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Q-SPEC-09</w:t>
            </w:r>
          </w:p>
        </w:tc>
        <w:tc>
          <w:tcPr>
            <w:tcW w:type="dxa" w:w="4488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全组 UC/DGM 重复编号及未完成共同 SRS 签认</w:t>
            </w:r>
          </w:p>
        </w:tc>
        <w:tc>
          <w:tcPr>
            <w:tcW w:type="dxa" w:w="2180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JR-P0-01/02</w:t>
            </w:r>
          </w:p>
        </w:tc>
        <w:tc>
          <w:tcPr>
            <w:tcW w:type="dxa" w:w="1875"/>
            <w:vAlign w:val="center"/>
          </w:tcPr>
          <w:p>
            <w:pPr>
              <w:spacing w:before="40" w:after="40" w:line="252" w:lineRule="auto"/>
            </w:pPr>
            <w:r>
              <w:rPr>
                <w:b w:val="0"/>
                <w:sz w:val="17"/>
              </w:rPr>
              <w:t>不假设总 SRS 已冻结</w:t>
            </w:r>
          </w:p>
        </w:tc>
      </w:tr>
    </w:tbl>
    <w:p/>
    <w:p>
      <w:r>
        <w:rPr>
          <w:b/>
        </w:rPr>
        <w:t>跨模块审查结论：</w:t>
      </w:r>
      <w:r>
        <w:rPr>
          <w:b w:val="0"/>
        </w:rPr>
        <w:t xml:space="preserve"> 现有联合审查登记 13 项阻断/待决，其中与本 SPEC 直接关联至少 9 类（上表）。这不是“9 处新发现且确认发生的 SRS/SPEC 文本冲突”：目前未发现有依据允许擅自更改 V1.9 的确定业务语义；明确需要人工作出语义决策的事项均在表中挂起。既有联合评审记录中的 FR15-S06、FR15-S13 与公共规则权威性问题已在原 SRS 处理，本 SPEC 不重复擅改。</w:t>
      </w:r>
    </w:p>
    <w:p>
      <w:pPr>
        <w:pStyle w:val="Heading1"/>
      </w:pPr>
      <w:r>
        <w:t>12. 参考材料和变更记录</w:t>
      </w:r>
    </w:p>
    <w:p>
      <w:r>
        <w:rPr>
          <w:b w:val="0"/>
        </w:rPr>
        <w:t>本文件引用：</w:t>
      </w:r>
      <w:r>
        <w:rPr>
          <w:rFonts w:ascii="DejaVu Sans Mono" w:hAnsi="DejaVu Sans Mono"/>
          <w:b w:val="0"/>
          <w:sz w:val="16"/>
        </w:rPr>
        <w:t>../requirements/学术成果分享平台需求分析与可行性报告.md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6"/>
        </w:rPr>
        <w:t>../requirements/学术成果分享平台调研与可行性论证附录.md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6"/>
        </w:rPr>
        <w:t>../srs/CognitaNexus_SRS编写与需求建模规范_V1.0.md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6"/>
        </w:rPr>
        <w:t>../srs/CognitaNexus-SRS-V1.0.md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6"/>
        </w:rPr>
        <w:t>../srs/modules/{governance-dedup,scholar-disambiguation,search-recommendation,collection-update,analytics-graph}.md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6"/>
        </w:rPr>
        <w:t>../reports/srs/joint-review-draft-2026-10-11.md</w:t>
      </w:r>
      <w:r>
        <w:rPr>
          <w:b w:val="0"/>
        </w:rPr>
        <w:t>、早期核心规则草案（历史来源，工作区已删除，现行入口为本文）。现行Markdown链接由本次整合检查核验；历史来源不作为可访问文件承诺。</w:t>
      </w:r>
    </w:p>
    <w:p>
      <w:r>
        <w:rPr>
          <w:b/>
        </w:rPr>
        <w:t>变更：</w:t>
      </w:r>
      <w:r>
        <w:rPr>
          <w:b w:val="0"/>
        </w:rPr>
        <w:t xml:space="preserve"> RC1 新增四大模块的字段、规则编号、伪代码、决策表、36 个规范样例、跨模块不变量及未决清单；未覆盖或修改原初稿，未变更 SRS，未宣称联合评审已举行。</w:t>
      </w:r>
    </w:p>
    <w:p>
      <w:r>
        <w:rPr>
          <w:b/>
        </w:rPr>
        <w:t>2026-10-12整合对齐：</w:t>
      </w:r>
      <w:r>
        <w:rPr>
          <w:b w:val="0"/>
        </w:rPr>
        <w:t xml:space="preserve"> 共同SRS与全局编号采用RC版；DEC-01采集完成处置与人工审核分离，DEC-02实体统计和参与关系资格分离，DEC-03管理授权不推导本人确认。以上为组长本次确认，未构成六人联合冻结；其余Q-SPEC候选参数保持待评审。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CognitaNexus  Review Candidate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CognitaNexus 核心模块规格说明书</dc:title>
  <dc:subject>Review Candidate 未冻结</dc:subject>
  <dc:creator>CognitaNexus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