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8"/>
        </w:rPr>
        <w:t>MANUAL FUNCIONAL</w:t>
      </w:r>
    </w:p>
    <w:p>
      <w:r>
        <w:rPr>
          <w:b/>
          <w:color w:val="365F91"/>
          <w:sz w:val="28"/>
        </w:rPr>
        <w:t>Sistema Compasso</w:t>
      </w:r>
    </w:p>
    <w:p>
      <w:r>
        <w:rPr>
          <w:b/>
          <w:color w:val="365F91"/>
          <w:sz w:val="28"/>
        </w:rPr>
        <w:t>Governança de Portfólio de TI — Funcionamento, Regras e Sequência de Workflow</w:t>
      </w:r>
    </w:p>
    <w:p>
      <w:r>
        <w:t>Este manual descreve o sistema como ele funciona hoje — apenas telas, regras e fluxos já implementados e em operação.</w:t>
      </w:r>
    </w:p>
    <w:p>
      <w:r>
        <w:t>Versão 9.3 — 16 de setembro de 2026</w:t>
      </w:r>
    </w:p>
    <w:p>
      <w:r>
        <w:t>Novidades da versão 9.2 (Release 1): módulo "Contratos e Fornecedores" — renomeações (Fornecedores; Vincular Projeto e Contrato), numeração automática de contrato, vínculo com visão Contrato → Projeto, pagamento por Nota Fiscal com rateio entre projetos (cabeçalho + itens), tela "Pendências de Contratos" (staging de lançamentos por formulário, planilha Excel e e-mail, com aprovação, anexo de NF e escalonamento de NF pendente), e consulta da NF no Relatório de Projetos.</w:t>
      </w:r>
    </w:p>
    <w:p>
      <w:r>
        <w:t>Novidades da versão 9.3: tela "Aprovar Diferenças de Orçamento" (10.3, antes "Mudança de Orçamento" — só o nome mudou); "Concluir Etapa de Especificação" passou a exibir também os valores originais do Business Case, além dos de Requerimentos; no Detalhamento de Pendência de Contrato, o campo "Fornecedor" agora mostra o nome cadastrado (resolvido pelo contrato) em vez do texto solto do e-mail, o campo "Valor" é exibido formatado, e o campo "Projeto" fica bloqueado quando a pendência tem rateio entre vários projetos; nova tela "Pagamentos Pendentes de NF" (11.6) para consultar e cobrar manualmente NF pendente, com a cobrança (automática e manual) indo direto para o e-mail cadastrado do fornecedor; e Ferramentas de Dev &gt; Criar Projeto de Teste ganhou todos os campos de Formalizar Demanda e passou a também servir para carga inicial de projetos já em andamento (ver 15.8).</w:t>
      </w:r>
    </w:p>
    <w:p>
      <w:pPr>
        <w:pStyle w:val="Heading1"/>
      </w:pPr>
      <w:r>
        <w:t>Sumário</w:t>
      </w:r>
    </w:p>
    <w:p>
      <w:r>
        <w:t>Clique com o botão direito sobre o sumário e escolha "Atualizar Campo" para gerar/atualizar o sumário.</w:t>
      </w:r>
    </w:p>
    <w:p>
      <w:pPr>
        <w:pStyle w:val="Heading1"/>
      </w:pPr>
      <w:r>
        <w:t>Roteiro de Instalação e Primeira Configuração</w:t>
      </w:r>
    </w:p>
    <w:p>
      <w:r>
        <w:t>Esta seção descreve, na ordem recomendada, o que precisa ser cadastrado numa instalação nova do Compasso — da base "carga zero" (só a estrutura do produto e o usuário PROPRIETÁRIO) até o sistema pronto para receber a primeira demanda. Cada passo indica a tela e a seção do manual onde ela é detalhada. A regra geral é: primeiro a Cognitionis prepara a licença e o acesso mestre; depois o Administrador do cliente monta os cadastros, sempre do que não depende de nada para o que depende do anterior.</w:t>
      </w:r>
    </w:p>
    <w:p>
      <w:r>
        <w:t>Papéis nesta seção: "master da Cognitionis" é o usuário PROPRIETÁRIO, criado pela Cognitionis na entrega e associado à área reservada COGNITIONIS (essa área é fixa do sistema — não aparece em nenhum seletor e o cadastro de Áreas recusa esse nome). "Administrador do cliente" é o primeiro usuário do cliente, que recebe a função ADMINISTRADOR.</w:t>
      </w:r>
    </w:p>
    <w:p>
      <w:pPr>
        <w:pStyle w:val="Heading2"/>
      </w:pPr>
      <w:r>
        <w:t>Bloco A — Preparação pela Cognitionis (master)</w:t>
      </w:r>
    </w:p>
    <w:p>
      <w:r>
        <w:t>Feito uma única vez, pelo PROPRIETÁRIO, antes de entregar o sistema ao cliente.</w:t>
      </w:r>
    </w:p>
    <w:p>
      <w:pPr>
        <w:pStyle w:val="ListBullet"/>
      </w:pPr>
      <w:r>
        <w:t>A1. Dados da Empresa Licenciada (menu Proprietário &gt; Dados da Empresa Licenciada — ver 2.7). Enquanto não estiver preenchida, o sistema abre numa tela de configuração bloqueante e nenhum outro perfil entra. Informar CNPJ, Razão Social, Nome Fantasia, Data de Aquisição, Início e Término da Vigência, Nome para Cabeçalhos, Cor e Logo.</w:t>
      </w:r>
    </w:p>
    <w:p>
      <w:pPr>
        <w:pStyle w:val="ListBullet"/>
      </w:pPr>
      <w:r>
        <w:t>A2. Licenciamento de Módulos (menu Proprietário &gt; Licenciamento de Módulos — ver 2.6 e 13.6). Ligar apenas os módulos contratados pelo cliente (Workflow, E-mail, Financeiro, Planejamento Estratégico). O núcleo está sempre ligado. Telas de módulo desligado não aparecem para ninguém.</w:t>
      </w:r>
    </w:p>
    <w:p>
      <w:pPr>
        <w:pStyle w:val="ListBullet"/>
      </w:pPr>
      <w:r>
        <w:t>A3. Primeiro usuário ADMINISTRADOR do cliente. Ordem: (a) em Parâmetros e Cadastros &gt; Cargos (14.9), garantir pelo menos um cargo; (b) em Perfis de Acesso &gt; Usuários (13.1), criar a conta do Administrador do cliente com senha provisória; (c) em Perfis de Acesso &gt; Funções e Permissões (13.2), criar a função ADMINISTRADOR marcada como "Acesso Irrestrito"; (d) em Perfis de Acesso &gt; Atribuição de Funções aos Usuários (13.3), ATRIBUIR a função ADMINISTRADOR à conta criada no passo (b). Este passo (d) é obrigatório: sem a atribuição, a conta entra no sistema sem permissão nenhuma — criar o usuário e criar a função não bastam.</w:t>
      </w:r>
    </w:p>
    <w:p>
      <w:r>
        <w:t>A função ADMINISTRADOR e a sua atribuição são responsabilidade exclusiva do master da Cognitionis. O cliente nunca cria nem concede ADMINISTRADOR a si mesmo; a partir daí, o Administrador do cliente cuida dos papéis operacionais (Governança, Gestor de TI, PMO, solicitantes, etc.).</w:t>
      </w:r>
    </w:p>
    <w:p>
      <w:pPr>
        <w:pStyle w:val="Heading2"/>
      </w:pPr>
      <w:r>
        <w:t>Bloco B — Configuração pelo Administrador do cliente</w:t>
      </w:r>
    </w:p>
    <w:p>
      <w:r>
        <w:t>Nesta ordem. Cada item só depende dos anteriores.</w:t>
      </w:r>
    </w:p>
    <w:p>
      <w:pPr>
        <w:pStyle w:val="ListBullet"/>
      </w:pPr>
      <w:r>
        <w:t>B1. Período do Ano Fiscal (Administração &gt; Período do Ano Fiscal — 15.10). Só se o Ano Fiscal do cliente NÃO começar em abril. Fazer antes de abrir o Ano Fiscal, porque quarters e rótulos "AFxxxx" derivam desse mês.</w:t>
      </w:r>
    </w:p>
    <w:p>
      <w:pPr>
        <w:pStyle w:val="ListBullet"/>
      </w:pPr>
      <w:r>
        <w:t>B2. Abertura Ano Fiscal (Ano Fiscal &gt; Abertura Ano Fiscal — 4.1). Numa base sem nenhum Ano Fiscal, usar o botão que inicializa o Ano Fiscal corrente já aberto para demandas. Sem isso, as telas que dependem de Ano Fiscal (Formalizar Demanda, Planejamento Estratégico) não têm o que listar.</w:t>
      </w:r>
    </w:p>
    <w:p>
      <w:pPr>
        <w:pStyle w:val="ListBullet"/>
      </w:pPr>
      <w:r>
        <w:t>B3. Cadastros mestres, nesta sequência de dependência (todos em Parâmetros e Cadastros — seção 14): Cargos (14.9) → Áreas Solicitantes (14.2) → Pessoas Solicitantes (14.3, dependem de Área) → Cadastro de Porte (14.4) → Tipos de Projeto (14.5) → Cadastro de Produtos (14.6) → Retorno / Benefícios de Projeto (14.7).</w:t>
      </w:r>
    </w:p>
    <w:p>
      <w:pPr>
        <w:pStyle w:val="ListBullet"/>
      </w:pPr>
      <w:r>
        <w:t>B4. Motor de workflow (Administração — seção 15): revisar Fases e Etapas do Workflow (15.1) — ordem das etapas, gerente responsável por fase, flag de decisão de aprovação — e conferir a matriz de SLA por etapa e porte (15.2, editada dentro de Fases e Etapas).</w:t>
      </w:r>
    </w:p>
    <w:p>
      <w:pPr>
        <w:pStyle w:val="ListBullet"/>
      </w:pPr>
      <w:r>
        <w:t>B5. Parâmetros de orçamento: Percentual de Bloqueio de Orçamento (15.6) e Controle Orçamentário (15.9 — modo Ano Fiscal, Área ou Produto; o padrão é Ano Fiscal).</w:t>
      </w:r>
    </w:p>
    <w:p>
      <w:pPr>
        <w:pStyle w:val="ListBullet"/>
      </w:pPr>
      <w:r>
        <w:t>B6. Organização de acesso do cliente, nesta ordem: Funções e Permissões (13.2 — criar os papéis operacionais e marcar as atividades de cada um) → Usuários (13.1 — as contas, cada uma com cargo e área) → Atribuição de Funções aos Usuários (13.3) → Responsáveis por Atividade (13.4 — quais usuários podem ser designados em cada etapa) → Restrição de Área por Atividade (13.5 — opcional, se quiser limitar telas por área do usuário).</w:t>
      </w:r>
    </w:p>
    <w:p>
      <w:pPr>
        <w:pStyle w:val="ListBullet"/>
      </w:pPr>
      <w:r>
        <w:t>B7. E-mail (Administração — só se o módulo E-mail estiver ligado): Gestão de Templates (15.3 — os modelos) → Gestão do Fluxo (15.4 — em cada ponto de disparo, definir destinatário, remetente e template, e então ligar a linha) → ligar a Chave Geral de Envio → Gestão de Fila de Envio (15.5) para processar os e-mails.</w:t>
      </w:r>
    </w:p>
    <w:p>
      <w:pPr>
        <w:pStyle w:val="ListBullet"/>
      </w:pPr>
      <w:r>
        <w:t>B8. Planejamento Estratégico (Parâmetros e Cadastros &gt; Planejamento Estratégico — 14.8): cadastrar os Pilares (cada um em um Ano Fiscal já configurado) e, dentro deles, as Iniciativas.</w:t>
      </w:r>
    </w:p>
    <w:p>
      <w:pPr>
        <w:pStyle w:val="Heading2"/>
      </w:pPr>
      <w:r>
        <w:t>Bloco C — Início da operação</w:t>
      </w:r>
    </w:p>
    <w:p>
      <w:r>
        <w:t>Com os blocos A e B concluídos, a base está pronta. O Administrador (ou o perfil de negócio habilitado) formaliza a primeira demanda em Business Case &gt; Formalizar Demanda (seção 5) e o projeto segue a sequência de workflow descrita nas seções 3 a 8.</w:t>
      </w:r>
    </w:p>
    <w:p>
      <w:r>
        <w:t>Ao restaurar um backup ou repetir o teste de instalação nova, o script sql/2026-09-03_carga_zero.sql devolve a base a este ponto de partida: só a estrutura do produto, o usuário PROPRIETÁRIO na área COGNITIONIS, e os gatilhos de e-mail zerados e desligados.</w:t>
      </w:r>
    </w:p>
    <w:p>
      <w:pPr>
        <w:pStyle w:val="Heading1"/>
      </w:pPr>
      <w:r>
        <w:t>1. Visão Geral do Sistema</w:t>
      </w:r>
    </w:p>
    <w:p>
      <w:r>
        <w:t>O Compasso é o sistema de governança do ciclo de vida das demandas e projetos de TI. Ele acompanha cada demanda desde a formalização inicial até a conclusão do projeto, passando por planejamento, orçamento, aprovações, requerimentos, especificação, execução, homologação (UAT) e Go-Live — incluindo o controle de contratos com terceiros, o acompanhamento de cronograma e o encerramento formal do projeto.</w:t>
      </w:r>
    </w:p>
    <w:p>
      <w:r>
        <w:t>O objetivo é dar visibilidade e controle sobre todo o portfólio: quanto cada demanda custa (em R$ e em horas), em que fase está, quem é responsável por cada etapa, se está dentro do prazo (SLA), se o orçamento está variando muito ao longo do tempo, a que Produto e Área ela pertence, e como cada projeto se conecta às prioridades estratégicas da empresa.</w:t>
      </w:r>
    </w:p>
    <w:p>
      <w:pPr>
        <w:pStyle w:val="Heading2"/>
      </w:pPr>
      <w:r>
        <w:t>1.1 Conceitos-chave</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Ano Fiscal (AF)</w:t>
            </w:r>
          </w:p>
        </w:tc>
        <w:tc>
          <w:tcPr>
            <w:tcW w:type="dxa" w:w="4153"/>
          </w:tcPr>
          <w:p>
            <w:r>
              <w:t>Ciclo orçamentário anual do sistema. O Q4 vai de janeiro a março, e é esse ano-calendário que dá nome ao AF inteiro — o AF2027 cobre abril/2026 a março/2027.</w:t>
            </w:r>
          </w:p>
        </w:tc>
      </w:tr>
      <w:tr>
        <w:tc>
          <w:tcPr>
            <w:tcW w:type="dxa" w:w="4153"/>
          </w:tcPr>
          <w:p>
            <w:r>
              <w:t>Produto</w:t>
            </w:r>
          </w:p>
        </w:tc>
        <w:tc>
          <w:tcPr>
            <w:tcW w:type="dxa" w:w="4153"/>
          </w:tcPr>
          <w:p>
            <w:r>
              <w:t>NOVO. Categoria de negócio à qual toda demanda passa a pertencer (ex.: um produto comercial, uma plataforma). Cadastrável em Parâmetros e Cadastros &gt; Cadastro de Produtos, e de preenchimento obrigatório na Formalização da Demanda. Existe um Produto reservado "Não Classificado", usado apenas nos projetos antigos migrados — ele não pode ser escolhido em demandas novas.</w:t>
            </w:r>
          </w:p>
        </w:tc>
      </w:tr>
      <w:tr>
        <w:tc>
          <w:tcPr>
            <w:tcW w:type="dxa" w:w="4153"/>
          </w:tcPr>
          <w:p>
            <w:r>
              <w:t>Área Solicitante</w:t>
            </w:r>
          </w:p>
        </w:tc>
        <w:tc>
          <w:tcPr>
            <w:tcW w:type="dxa" w:w="4153"/>
          </w:tcPr>
          <w:p>
            <w:r>
              <w:t>Área da empresa que pede a demanda. Também cadastrável, e usada tanto para responsabilização quanto para agrupar orçamento (ver 12.2).</w:t>
            </w:r>
          </w:p>
        </w:tc>
      </w:tr>
      <w:tr>
        <w:tc>
          <w:tcPr>
            <w:tcW w:type="dxa" w:w="4153"/>
          </w:tcPr>
          <w:p>
            <w:r>
              <w:t>Porte do Projeto</w:t>
            </w:r>
          </w:p>
        </w:tc>
        <w:tc>
          <w:tcPr>
            <w:tcW w:type="dxa" w:w="4153"/>
          </w:tcPr>
          <w:p>
            <w:r>
              <w:t>Classificação (ex.: P, M, G, GG — os códigos são cadastráveis) calculada automaticamente a partir da quantidade de HORAS do projeto, comparando com as faixas configuradas em Cadastro de Porte.</w:t>
            </w:r>
          </w:p>
        </w:tc>
      </w:tr>
      <w:tr>
        <w:tc>
          <w:tcPr>
            <w:tcW w:type="dxa" w:w="4153"/>
          </w:tcPr>
          <w:p>
            <w:r>
              <w:t>Qualificação da Demanda</w:t>
            </w:r>
          </w:p>
        </w:tc>
        <w:tc>
          <w:tcPr>
            <w:tcW w:type="dxa" w:w="4153"/>
          </w:tcPr>
          <w:p>
            <w:r>
              <w:t>Classificação obrigatória: GROW (crescimento), REG (regulatório) ou RUN (manutenção/operação).</w:t>
            </w:r>
          </w:p>
        </w:tc>
      </w:tr>
      <w:tr>
        <w:tc>
          <w:tcPr>
            <w:tcW w:type="dxa" w:w="4153"/>
          </w:tcPr>
          <w:p>
            <w:r>
              <w:t>Tipo de Projeto</w:t>
            </w:r>
          </w:p>
        </w:tc>
        <w:tc>
          <w:tcPr>
            <w:tcW w:type="dxa" w:w="4153"/>
          </w:tcPr>
          <w:p>
            <w:r>
              <w:t>Categoria cadastrável (código curto + descrição) escolhida obrigatoriamente na Formalização da Demanda.</w:t>
            </w:r>
          </w:p>
        </w:tc>
      </w:tr>
      <w:tr>
        <w:tc>
          <w:tcPr>
            <w:tcW w:type="dxa" w:w="4153"/>
          </w:tcPr>
          <w:p>
            <w:r>
              <w:t>Demanda Extraordinária</w:t>
            </w:r>
          </w:p>
        </w:tc>
        <w:tc>
          <w:tcPr>
            <w:tcW w:type="dxa" w:w="4153"/>
          </w:tcPr>
          <w:p>
            <w:r>
              <w:t>Demanda urgente fora do ciclo normal de aprovação orçamentária anual, incluída via um fluxo próprio de simulação e trade-off com outros projetos (ver 5.6). Tem processo de aprovação exclusivo — não passa pelo Comitê nem pelo fechamento do orçamento do AF corrente.</w:t>
            </w:r>
          </w:p>
        </w:tc>
      </w:tr>
      <w:tr>
        <w:tc>
          <w:tcPr>
            <w:tcW w:type="dxa" w:w="4153"/>
          </w:tcPr>
          <w:p>
            <w:r>
              <w:t>Carryover</w:t>
            </w:r>
          </w:p>
        </w:tc>
        <w:tc>
          <w:tcPr>
            <w:tcW w:type="dxa" w:w="4153"/>
          </w:tcPr>
          <w:p>
            <w:r>
              <w:t>Marcação (não muda o Ano Fiscal do projeto) que indica que o saldo ainda não utilizado de um projeto será levado adiante para o próximo ciclo. O valor de carryover é sempre calculado automaticamente, nunca digitado. É definido na aba "Avaliação Projetos Fechamento Ano Fiscal" da tela Fechamento Ano Fiscal (ver 4.2), em duas formas: Carryover Desenvolvimento (o projeto segue em andamento no próximo AF) e Carryover Hold (entra no próximo AF já em Hold). Tem tratamento próprio, separado da aprovação do AF corrente.</w:t>
            </w:r>
          </w:p>
        </w:tc>
      </w:tr>
      <w:tr>
        <w:tc>
          <w:tcPr>
            <w:tcW w:type="dxa" w:w="4153"/>
          </w:tcPr>
          <w:p>
            <w:r>
              <w:t>Fechamento de Ano Fiscal</w:t>
            </w:r>
          </w:p>
        </w:tc>
        <w:tc>
          <w:tcPr>
            <w:tcW w:type="dxa" w:w="4153"/>
          </w:tcPr>
          <w:p>
            <w:r>
              <w:t>NOVO. Encerramento formal de um Ano Fiscal — grava quem fechou, quando e um comentário, e passa a ser exigido para abrir o próximo AF. É diferente do fechamento do orçamento (5.5): um AF pode ter o orçamento fechado e ainda não estar formalmente encerrado. Só pode ser feito quando nenhum projeto do AF segue "em andamento" — todos precisam estar em Carryover, Hold ou Cancelado (ver 4.2).</w:t>
            </w:r>
          </w:p>
        </w:tc>
      </w:tr>
      <w:tr>
        <w:tc>
          <w:tcPr>
            <w:tcW w:type="dxa" w:w="4153"/>
          </w:tcPr>
          <w:p>
            <w:r>
              <w:t>Agrupamento de Orçamento</w:t>
            </w:r>
          </w:p>
        </w:tc>
        <w:tc>
          <w:tcPr>
            <w:tcW w:type="dxa" w:w="4153"/>
          </w:tcPr>
          <w:p>
            <w:r>
              <w:t>NOVO. No Dashboard e no Financeiro, a visão de orçamento pode ser organizada por Ano Fiscal (padrão), por Área ou por Produto. A seleção ativa aparece na linha "Visão por:" e recalcula a tela inteira (ver 12.2).</w:t>
            </w:r>
          </w:p>
        </w:tc>
      </w:tr>
      <w:tr>
        <w:tc>
          <w:tcPr>
            <w:tcW w:type="dxa" w:w="4153"/>
          </w:tcPr>
          <w:p>
            <w:r>
              <w:t>Ajuste de Orçamento</w:t>
            </w:r>
          </w:p>
        </w:tc>
        <w:tc>
          <w:tcPr>
            <w:tcW w:type="dxa" w:w="4153"/>
          </w:tcPr>
          <w:p>
            <w:r>
              <w:t>NOVO. Registro formal de autorização para mover orçamento entre subgrupos diferentes (áreas ou produtos distintos) nos processos de Carryover e Demanda Extraordinária (ver 4.3).</w:t>
            </w:r>
          </w:p>
        </w:tc>
      </w:tr>
      <w:tr>
        <w:tc>
          <w:tcPr>
            <w:tcW w:type="dxa" w:w="4153"/>
          </w:tcPr>
          <w:p>
            <w:r>
              <w:t>Subprojeto</w:t>
            </w:r>
          </w:p>
        </w:tc>
        <w:tc>
          <w:tcPr>
            <w:tcW w:type="dxa" w:w="4153"/>
          </w:tcPr>
          <w:p>
            <w:r>
              <w:t>Projeto "filho" criado a partir de um projeto na fase de Execução, com código próprio, que segue o workflow normalmente.</w:t>
            </w:r>
          </w:p>
        </w:tc>
      </w:tr>
      <w:tr>
        <w:tc>
          <w:tcPr>
            <w:tcW w:type="dxa" w:w="4153"/>
          </w:tcPr>
          <w:p>
            <w:r>
              <w:t>Código do Projeto</w:t>
            </w:r>
          </w:p>
        </w:tc>
        <w:tc>
          <w:tcPr>
            <w:tcW w:type="dxa" w:w="4153"/>
          </w:tcPr>
          <w:p>
            <w:r>
              <w:t>Identificador único gerado automaticamente no formato PRJ-FYxx-000-ARE (ano fiscal, número sequencial e mnemônico da área).</w:t>
            </w:r>
          </w:p>
        </w:tc>
      </w:tr>
      <w:tr>
        <w:tc>
          <w:tcPr>
            <w:tcW w:type="dxa" w:w="4153"/>
          </w:tcPr>
          <w:p>
            <w:r>
              <w:t>CAPEX / OPEX</w:t>
            </w:r>
          </w:p>
        </w:tc>
        <w:tc>
          <w:tcPr>
            <w:tcW w:type="dxa" w:w="4153"/>
          </w:tcPr>
          <w:p>
            <w:r>
              <w:t>Classificação financeira definida na conclusão de "Orçamentar Demanda" — usada nos totais do Dashboard e do Financeiro.</w:t>
            </w:r>
          </w:p>
        </w:tc>
      </w:tr>
      <w:tr>
        <w:tc>
          <w:tcPr>
            <w:tcW w:type="dxa" w:w="4153"/>
          </w:tcPr>
          <w:p>
            <w:r>
              <w:t>Pilar / Iniciativa Estratégica</w:t>
            </w:r>
          </w:p>
        </w:tc>
        <w:tc>
          <w:tcPr>
            <w:tcW w:type="dxa" w:w="4153"/>
          </w:tcPr>
          <w:p>
            <w:r>
              <w:t>Estrutura de planejamento estratégico à qual uma demanda pode ser associada (ver 14.8).</w:t>
            </w:r>
          </w:p>
        </w:tc>
      </w:tr>
      <w:tr>
        <w:tc>
          <w:tcPr>
            <w:tcW w:type="dxa" w:w="4153"/>
          </w:tcPr>
          <w:p>
            <w:r>
              <w:t>Atividade</w:t>
            </w:r>
          </w:p>
        </w:tc>
        <w:tc>
          <w:tcPr>
            <w:tcW w:type="dxa" w:w="4153"/>
          </w:tcPr>
          <w:p>
            <w:r>
              <w:t>A unidade mínima de controle de acesso: uma tela ou uma sub-aba específica do sistema. Cada atividade tem quatro permissões independentes — Consultar, Incluir, Alterar e Deletar (ver 2).</w:t>
            </w:r>
          </w:p>
        </w:tc>
      </w:tr>
      <w:tr>
        <w:tc>
          <w:tcPr>
            <w:tcW w:type="dxa" w:w="4153"/>
          </w:tcPr>
          <w:p>
            <w:r>
              <w:t>Papel (Função)</w:t>
            </w:r>
          </w:p>
        </w:tc>
        <w:tc>
          <w:tcPr>
            <w:tcW w:type="dxa" w:w="4153"/>
          </w:tcPr>
          <w:p>
            <w:r>
              <w:t>Conjunto de atividades e permissões concedido a um usuário. Um papel pode ser marcado como Acesso Irrestrito (equivalente a Administrador) e, um nível acima, como PROPRIETÁRIO (ver 2.2).</w:t>
            </w:r>
          </w:p>
        </w:tc>
      </w:tr>
      <w:tr>
        <w:tc>
          <w:tcPr>
            <w:tcW w:type="dxa" w:w="4153"/>
          </w:tcPr>
          <w:p>
            <w:r>
              <w:t>Licenciamento de Módulos</w:t>
            </w:r>
          </w:p>
        </w:tc>
        <w:tc>
          <w:tcPr>
            <w:tcW w:type="dxa" w:w="4153"/>
          </w:tcPr>
          <w:p>
            <w:r>
              <w:t>NOVO. Interruptor por módulo do sistema (Workflow, E-mail, Financeiro, Planejamento Estratégico). Um módulo desligado esconde as telas dele para todos, inclusive Administrador e Proprietário (ver 2.6).</w:t>
            </w:r>
          </w:p>
        </w:tc>
      </w:tr>
    </w:tbl>
    <w:p>
      <w:pPr>
        <w:pStyle w:val="Heading2"/>
      </w:pPr>
      <w:r>
        <w:t>1.2 Como o sistema está organizado</w:t>
      </w:r>
    </w:p>
    <w:p>
      <w:r>
        <w:t>A navegação segue a jornada de um projeto, de cima para baixo no menu lateral. O menu só mostra os grupos e itens para os quais o usuário logado tem permissão — um grupo sem nenhum item visível some por inteiro.</w:t>
      </w:r>
    </w:p>
    <w:p>
      <w:pPr>
        <w:pStyle w:val="ListBullet"/>
      </w:pPr>
      <w:r>
        <w:t>Ano Fiscal — abertura do ciclo orçamentário, Fechamento Ano Fiscal (avaliação consolidada do ano, botão de fechamento formal e a decisão de Carryover/Hold/Cancelamento projeto a projeto), Ajuste de Orçamento e Validação de Trade-off Extraordinário.</w:t>
      </w:r>
    </w:p>
    <w:p>
      <w:pPr>
        <w:pStyle w:val="ListBullet"/>
      </w:pPr>
      <w:r>
        <w:t>Business Case — formalização, orçamento e aprovações iniciais (incluindo o caminho Extraordinário).</w:t>
      </w:r>
    </w:p>
    <w:p>
      <w:pPr>
        <w:pStyle w:val="ListBullet"/>
      </w:pPr>
      <w:r>
        <w:t>Requerimentos — levantamento e avaliação de negócio/TI dos requerimentos.</w:t>
      </w:r>
    </w:p>
    <w:p>
      <w:pPr>
        <w:pStyle w:val="ListBullet"/>
      </w:pPr>
      <w:r>
        <w:t>Especificação — especificação técnica e avaliação de negócio (era "Technical").</w:t>
      </w:r>
    </w:p>
    <w:p>
      <w:pPr>
        <w:pStyle w:val="ListBullet"/>
      </w:pPr>
      <w:r>
        <w:t>Execução — planejamento conjunto de Execução/UAT/Go-Live, subprojetos e conclusão do projeto (era "Execução - Desenvolvimento").</w:t>
      </w:r>
    </w:p>
    <w:p>
      <w:pPr>
        <w:pStyle w:val="ListBullet"/>
      </w:pPr>
      <w:r>
        <w:t>Governança — cobrança de ajustes, liberação de projetos em Hold e mudança de orçamento.</w:t>
      </w:r>
    </w:p>
    <w:p>
      <w:pPr>
        <w:pStyle w:val="ListBullet"/>
      </w:pPr>
      <w:r>
        <w:t>Contratos e Terceiros — empresas, contratos, vínculo de contrato por projeto, registro de valores e relatório.</w:t>
      </w:r>
    </w:p>
    <w:p>
      <w:pPr>
        <w:pStyle w:val="ListBullet"/>
      </w:pPr>
      <w:r>
        <w:t>Perfis de Acesso — usuários, funções e permissões, atribuição de funções e restrição de área.</w:t>
      </w:r>
    </w:p>
    <w:p>
      <w:pPr>
        <w:pStyle w:val="ListBullet"/>
      </w:pPr>
      <w:r>
        <w:t>Parâmetros e Cadastros — áreas, pessoas, porte, tipos de projeto, Cadastro de Produtos, retorno/benefícios, planejamento estratégico e cargos.</w:t>
      </w:r>
    </w:p>
    <w:p>
      <w:pPr>
        <w:pStyle w:val="ListBullet"/>
      </w:pPr>
      <w:r>
        <w:t>Administração — fases/etapas do workflow, SLA, os três itens de Envio de E-mail, percentual de bloqueio de orçamento, responsáveis por atividade, Controle Orçamentário e Período do Ano Fiscal.</w:t>
      </w:r>
    </w:p>
    <w:p>
      <w:pPr>
        <w:pStyle w:val="ListBullet"/>
      </w:pPr>
      <w:r>
        <w:t>Ferramentas de Dev — grupo próprio, exclusivo do PROPRIETÁRIO.</w:t>
      </w:r>
    </w:p>
    <w:p>
      <w:pPr>
        <w:pStyle w:val="ListBullet"/>
      </w:pPr>
      <w:r>
        <w:t>Proprietário — grupo que só aparece para quem tem o papel PROPRIETÁRIO; contém "Dados da Empresa Licenciada" (2.7) e o Licenciamento de Módulos (2.6).</w:t>
      </w:r>
    </w:p>
    <w:p>
      <w:pPr>
        <w:pStyle w:val="ListBullet"/>
      </w:pPr>
      <w:r>
        <w:t>Barra superior — visões consolidadas: Dashboard, Roadmap, Financeiro, Alertas de Orçamento, Cronograma &amp; Evolução e Consulta de Projetos.</w:t>
      </w:r>
    </w:p>
    <w:p>
      <w:r>
        <w:t>A tela de Detalhamento do Projeto não tem link fixo no menu — é acessada clicando no código de qualquer projeto no Dashboard, na Consulta de Projetos, no Cronograma ou em outras listagens (ver 12.10).</w:t>
      </w:r>
    </w:p>
    <w:p>
      <w:r>
        <w:t>A versão do sistema (ex.: "Versão 1.0.0 · Release 0") aparece no rodapé da tela de login, no rodapé do menu lateral e na tela inicial. É o número a citar em qualquer report de problema.</w:t>
      </w:r>
    </w:p>
    <w:p>
      <w:pPr>
        <w:pStyle w:val="Heading1"/>
      </w:pPr>
      <w:r>
        <w:t>2. Perfis de Acesso e Permissões</w:t>
      </w:r>
    </w:p>
    <w:p>
      <w:r>
        <w:t>O acesso ao sistema é controlado por atividade. Cada tela ou sub-aba relevante é uma "atividade" catalogada, e cada papel concede, por atividade, um subconjunto de quatro permissões independentes.</w:t>
      </w:r>
    </w:p>
    <w:p>
      <w:pPr>
        <w:pStyle w:val="Heading2"/>
      </w:pPr>
      <w:r>
        <w:t>2.1 Catálogo de Atividades</w:t>
      </w:r>
    </w:p>
    <w:p>
      <w:r>
        <w:t>Todas as telas e sub-abas estão organizadas em um catálogo com três níveis:</w:t>
      </w:r>
    </w:p>
    <w:p>
      <w:pPr>
        <w:pStyle w:val="ListBullet"/>
      </w:pPr>
      <w:r>
        <w:t>Grupo — o grande bloco do menu (ex.: "Business Case", "Perfis de Acesso").</w:t>
      </w:r>
    </w:p>
    <w:p>
      <w:pPr>
        <w:pStyle w:val="ListBullet"/>
      </w:pPr>
      <w:r>
        <w:t>Subgrupo — a tela específica dentro do grupo (ex.: "Formalizar Demanda").</w:t>
      </w:r>
    </w:p>
    <w:p>
      <w:pPr>
        <w:pStyle w:val="ListBullet"/>
      </w:pPr>
      <w:r>
        <w:t>Atividade — a sub-aba ou ação específica dentro da tela (ex.: "Cadastrar", "Cadastrados"). Quando a tela não tem sub-abas, a atividade é a tela inteira.</w:t>
      </w:r>
    </w:p>
    <w:p>
      <w:r>
        <w:t>Cada atividade do catálogo tem ainda um campo próprio de Restrição de Área (ver 2.5). O catálogo em si é fixo, definido pelo sistema.</w:t>
      </w:r>
    </w:p>
    <w:p>
      <w:pPr>
        <w:pStyle w:val="Heading2"/>
      </w:pPr>
      <w:r>
        <w:t>2.2 Papéis, Acesso Irrestrito e Proprietário</w:t>
      </w:r>
    </w:p>
    <w:p>
      <w:r>
        <w:t>Um papel concede acesso a um conjunto de atividades, marcadas no cadastro do papel (ver 13.2). Além disso:</w:t>
      </w:r>
    </w:p>
    <w:p>
      <w:pPr>
        <w:pStyle w:val="ListBullet"/>
      </w:pPr>
      <w:r>
        <w:t>Acesso Irrestrito — o papel ignora o catálogo por completo e enxerga o sistema inteiro, incluindo a restrição de área. O papel ADMINISTRADOR já nasce com essa marcação.</w:t>
      </w:r>
    </w:p>
    <w:p>
      <w:pPr>
        <w:pStyle w:val="ListBullet"/>
      </w:pPr>
      <w:r>
        <w:t>PROPRIETÁRIO — um nível acima do Administrador. Tudo o que o Administrador faz, o Proprietário também faz; e só o Proprietário enxerga o Licenciamento de Módulos (ver 2.6) e pode criar, marcar ou alterar a própria função de Proprietário. Marcar um papel como Proprietário implica automaticamente Acesso Irrestrito.</w:t>
      </w:r>
    </w:p>
    <w:p>
      <w:r>
        <w:t>"Ferramentas de Dev" é exclusivo do PROPRIETÁRIO — não basta ter Acesso Irrestrito nem ser Administrador, e não adianta a atividade estar marcada para outro papel. É a única tela com ações destrutivas (apagar dados de teste em massa), então fica no papel mais privilegiado; tanto a visibilidade do menu quanto cada ação dentro dela reconferem que o usuário é Proprietário.</w:t>
      </w:r>
    </w:p>
    <w:p>
      <w:pPr>
        <w:pStyle w:val="Heading2"/>
      </w:pPr>
      <w:r>
        <w:t>2.3 Permissões por atividade — Consultar, Incluir, Alterar, Deletar</w:t>
      </w:r>
    </w:p>
    <w:p>
      <w:r>
        <w:t>Cada atividade tem quatro caixas independentes no cadastro do papel:</w:t>
      </w:r>
    </w:p>
    <w:p>
      <w:pPr>
        <w:pStyle w:val="ListBullet"/>
      </w:pPr>
      <w:r>
        <w:t>Consultar — ver a tela/sub-aba. Vem marcada por padrão em toda atividade nova.</w:t>
      </w:r>
    </w:p>
    <w:p>
      <w:pPr>
        <w:pStyle w:val="ListBullet"/>
      </w:pPr>
      <w:r>
        <w:t>Incluir — usar os formulários de cadastro/criação daquela tela.</w:t>
      </w:r>
    </w:p>
    <w:p>
      <w:pPr>
        <w:pStyle w:val="ListBullet"/>
      </w:pPr>
      <w:r>
        <w:t>Alterar — editar registros existentes (inclusive ativar/inativar).</w:t>
      </w:r>
    </w:p>
    <w:p>
      <w:pPr>
        <w:pStyle w:val="ListBullet"/>
      </w:pPr>
      <w:r>
        <w:t>Deletar — excluir registros.</w:t>
      </w:r>
    </w:p>
    <w:p>
      <w:r>
        <w:t>Incluir, Alterar e Deletar vêm desmarcados por padrão. Marcar qualquer um deles implica também Consultar. Na prática, os botões "Novo", "Editar", "Excluir" e "Ativar/Inativar" só aparecem quando o verbo correspondente está concedido para aquela tela; sem eles, o usuário fica em modo somente-leitura.</w:t>
      </w:r>
    </w:p>
    <w:p>
      <w:r>
        <w:t>Nas telas de "Cadastrar / Cadastrados" (ver 14.1), os verbos valem pela tela como um todo: se o papel pode Incluir OU Alterar naquela tela, a aba "Cadastrar" aparece; senão, só a aba "Cadastrados".</w:t>
      </w:r>
    </w:p>
    <w:p>
      <w:pPr>
        <w:pStyle w:val="Heading2"/>
      </w:pPr>
      <w:r>
        <w:t>2.4 Visibilidade do menu e das sub-abas</w:t>
      </w:r>
    </w:p>
    <w:p>
      <w:r>
        <w:t>O menu lateral e a barra superior só mostram os itens para os quais o usuário tem pelo menos a permissão de Consultar (ou Acesso Irrestrito). Um grupo do menu cujos itens ficaram todos ocultos some por inteiro — não sobra o título vazio. Dentro de uma tela visível, os botões de cada sub-aba seguem a mesma regra, e se a sub-aba que o sistema abriria por padrão não for permitida, ele troca automaticamente para a primeira que o usuário pode ver.</w:t>
      </w:r>
    </w:p>
    <w:p>
      <w:pPr>
        <w:pStyle w:val="Heading2"/>
      </w:pPr>
      <w:r>
        <w:t>2.5 Restrição de Área</w:t>
      </w:r>
    </w:p>
    <w:p>
      <w:r>
        <w:t>Cada atividade do catálogo pode ser marcada como "Restrição de Área = Sim" (tela em 13.5). Quando marcada:</w:t>
      </w:r>
    </w:p>
    <w:p>
      <w:pPr>
        <w:pStyle w:val="ListBullet"/>
      </w:pPr>
      <w:r>
        <w:t>O usuário só vê e só pode alterar projetos da mesma área cadastrada no seu próprio perfil.</w:t>
      </w:r>
    </w:p>
    <w:p>
      <w:pPr>
        <w:pStyle w:val="ListBullet"/>
      </w:pPr>
      <w:r>
        <w:t>Usuários da área Tecnologia da Informação nunca sofrem essa restrição, em nenhuma atividade.</w:t>
      </w:r>
    </w:p>
    <w:p>
      <w:pPr>
        <w:pStyle w:val="ListBullet"/>
      </w:pPr>
      <w:r>
        <w:t>Quem tem Acesso Irrestrito também nunca sofre essa restrição.</w:t>
      </w:r>
    </w:p>
    <w:p>
      <w:pPr>
        <w:pStyle w:val="ListBullet"/>
      </w:pPr>
      <w:r>
        <w:t>Uma função marcada com "Ignora Restrição de Área" (13.2) também enxerga todas as áreas em qualquer atividade restrita — sem ganhar Acesso Irrestrito: continua limitada ao catálogo de atividades marcadas para ela normalmente. É a forma de dar esse privilégio a um papel específico (ex.: Governança, PMO) sem abrir o sistema inteiro para ele.</w:t>
      </w:r>
    </w:p>
    <w:p>
      <w:r>
        <w:t>Por padrão, toda atividade nasce com Restrição de Área = Não. Duas telas nunca respeitam essa restrição, mesmo se configurada: "Aprovar Orçamento Ano Fiscal" e "Aprovar Demanda Extraordinária" — são decisões que precisam enxergar o portfólio inteiro (ver Documento de Lacunas).</w:t>
      </w:r>
    </w:p>
    <w:p>
      <w:pPr>
        <w:pStyle w:val="Heading2"/>
      </w:pPr>
      <w:r>
        <w:t>2.6 Licenciamento de Módulos</w:t>
      </w:r>
    </w:p>
    <w:p>
      <w:r>
        <w:t>Onde: menu Proprietário &gt; Licenciamento de Módulos (só o Proprietário vê).</w:t>
      </w:r>
    </w:p>
    <w:p>
      <w:r>
        <w:t>O sistema é dividido em módulos — Workflow, E-mail, Financeiro e Planejamento Estratégico. Cada módulo tem um interruptor Ligado/Desligado. Um módulo desligado esconde todas as telas dele para todos os usuários, inclusive Administrador e Proprietário — não há exceção por papel. As telas de NÚCLEO ficam sempre disponíveis: login e perfis de acesso, cadastros base (Áreas, Produtos, Pessoas, Portes, Tipos, Cargos), Abertura e Período do Ano Fiscal, Dashboard e Consulta de Projetos, Licenciamento de Módulos e Ferramentas de Dev.</w:t>
      </w:r>
    </w:p>
    <w:p>
      <w:r>
        <w:t>O que cada módulo destrava está registrado numa tabela de configuração (tela → módulo), não mais fixo no código. O Workflow inclui toda a esteira de projetos — inclusive as aprovações do Business Case ("Aprovar Orçamento por Projeto" / Comitê e "Aprovar Orçamento Ano Fiscal"), a trava de variação de orçamento ("Percentual de Bloqueio de Orçamento" e "Aprovar Diferenças de Orçamento") e "Fases e Etapas do Workflow" / "SLA &amp; Prazos". Esses passos são obrigatórios do fluxo desenhado, então continuam disponíveis mesmo sem o Financeiro. O Financeiro cobre Contratos &amp; Terceiros, Visão de Orçamento, Alertas de Orçamento, e as funções de orçamento que não são passo do fluxo: Controle Orçamentário, Ajuste de Orçamento, Validação de Trade-off Extraordinário e Aprovar Demanda Extraordinária.</w:t>
      </w:r>
    </w:p>
    <w:p>
      <w:r>
        <w:t>Consequência prática: se uma tela de orçamento ou de e-mail "sumiu para todo mundo", o primeiro lugar a conferir é o Licenciamento de Módulos.</w:t>
      </w:r>
    </w:p>
    <w:p>
      <w:pPr>
        <w:pStyle w:val="Heading2"/>
      </w:pPr>
      <w:r>
        <w:t>2.7 Empresa Licenciada e Vigência da Licença</w:t>
      </w:r>
    </w:p>
    <w:p>
      <w:r>
        <w:t>Onde: menu Proprietário &gt; Dados da Empresa Licenciada (só o Proprietário vê e edita).</w:t>
      </w:r>
    </w:p>
    <w:p>
      <w:r>
        <w:t>Guarda a identidade da empresa que licenciou o Compasso e o período de validade da licença: CNPJ (validado), Razão Social, Nome Fantasia, Data de Aquisição, Início e Término da Vigência, "Nome para Cabeçalhos" (exibido em MAIÚSCULAS, na cor escolhida), Cor para Exibição e Logo (PNG ou SVG, até 2 MB). O sistema recusa salvar se o início da vigência não for anterior ao término, e avisa se a cor tiver baixo contraste com o cabeçalho.</w:t>
      </w:r>
    </w:p>
    <w:p>
      <w:r>
        <w:t>O nome (e a logo, se houver) aparecem na tela de login abaixo de "Cloud Governance", na tela inicial e no menu lateral, logo abaixo da marca Compasso.</w:t>
      </w:r>
    </w:p>
    <w:p>
      <w:r>
        <w:t>Enquanto a empresa e a vigência não estiverem cadastradas, o sistema abre numa tela de configuração bloqueante: o Proprietário preenche o formulário; os demais perfis só veem "Sistema em configuração, contate o Proprietário".</w:t>
      </w:r>
    </w:p>
    <w:p>
      <w:r>
        <w:t>A cada carregamento o sistema confere se a data de hoje está dentro da vigência. A partir de N dias antes do fim (30 por padrão, configurável) aparece um aviso amarelo no topo para Proprietário/Administrador. Vencida a vigência, o sistema mostra a tela "Licença Expirada" e não abre nenhuma outra tela — só o Proprietário vê o campo de "Código de Renovação". Toda verificação que nega acesso e toda tentativa de renovação ficam registradas.</w:t>
      </w:r>
    </w:p>
    <w:p>
      <w:r>
        <w:t>Renovação: o Proprietário solicita à Cognitionis (fora do sistema), recebe um código assinado, e cola no campo "Código de Renovação". Um serviço no servidor confere a assinatura e o CNPJ e, se conferir, estende automaticamente a Data de Término da Vigência. A chave de assinatura nunca fica no navegador.</w:t>
      </w:r>
    </w:p>
    <w:p>
      <w:pPr>
        <w:pStyle w:val="Heading2"/>
      </w:pPr>
      <w:r>
        <w:t>2.8 Como atribuir um papel a alguém</w:t>
      </w:r>
    </w:p>
    <w:p>
      <w:pPr>
        <w:pStyle w:val="ListBullet"/>
      </w:pPr>
      <w:r>
        <w:t>A pessoa precisa ter uma conta criada em Usuários (ver 13.1).</w:t>
      </w:r>
    </w:p>
    <w:p>
      <w:pPr>
        <w:pStyle w:val="ListBullet"/>
      </w:pPr>
      <w:r>
        <w:t>Um Administrador ou Proprietário acessa Perfis de Acesso &gt; Atribuição de Funções aos Usuários.</w:t>
      </w:r>
    </w:p>
    <w:p>
      <w:pPr>
        <w:pStyle w:val="ListBullet"/>
      </w:pPr>
      <w:r>
        <w:t>Marca os papéis desejados e salva. A função PROPRIETÁRIO só aparece nessa lista para quem já é Proprietário.</w:t>
      </w:r>
    </w:p>
    <w:p>
      <w:pPr>
        <w:pStyle w:val="ListBullet"/>
      </w:pPr>
      <w:r>
        <w:t>Se a própria pessoa logada tiver seus papéis alterados, os botões, sub-abas e grupos de menu disponíveis já se atualizam automaticamente.</w:t>
      </w:r>
    </w:p>
    <w:p>
      <w:pPr>
        <w:pStyle w:val="Heading2"/>
      </w:pPr>
      <w:r>
        <w:t>2.9 Segurança no banco de dados (RLS)</w:t>
      </w:r>
    </w:p>
    <w:p>
      <w:r>
        <w:t>As tabelas centrais do controle de acesso — funções, permissões por atividade, vínculos usuário-papel, catálogo de atividades e licenciamento de módulos — passaram a ter proteção no próprio banco de dados (Row Level Security): só quem tem Acesso Irrestrito ou é Proprietário consegue gravar nelas, e cada usuário só enxerga os próprios vínculos de função (o Administrador enxerga todos). O licenciamento de módulos só aceita gravação do Proprietário.</w:t>
      </w:r>
    </w:p>
    <w:p>
      <w:r>
        <w:t>As demais tabelas do sistema (projetos, etapas, contratos, etc.) ainda não têm essa proteção no banco — ver Documento de Lacunas.</w:t>
      </w:r>
    </w:p>
    <w:p>
      <w:pPr>
        <w:pStyle w:val="Heading1"/>
      </w:pPr>
      <w:r>
        <w:t>3. A Sequência do Workflow</w:t>
      </w:r>
    </w:p>
    <w:p>
      <w:r>
        <w:t>Todo projeto percorre a mesma sequência de fases. A ordem, os nomes e os gerentes responsáveis por cada fase são configuráveis em Administração &gt; Fases e Etapas do Workflow, sem alteração técnica.</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Etapas (nesta ordem)</w:t>
            </w:r>
          </w:p>
        </w:tc>
      </w:tr>
      <w:tr>
        <w:tc>
          <w:tcPr>
            <w:tcW w:type="dxa" w:w="4153"/>
          </w:tcPr>
          <w:p>
            <w:r>
              <w:t>BUSINESS CASE</w:t>
            </w:r>
          </w:p>
        </w:tc>
        <w:tc>
          <w:tcPr>
            <w:tcW w:type="dxa" w:w="4153"/>
          </w:tcPr>
          <w:p>
            <w:r>
              <w:t>Formalizar Demanda → Orçamentar Demanda → Aprovar Orçamento por Projeto (Comitê) → Aprovar Orçamento Ano Fiscal</w:t>
            </w:r>
          </w:p>
        </w:tc>
      </w:tr>
      <w:tr>
        <w:tc>
          <w:tcPr>
            <w:tcW w:type="dxa" w:w="4153"/>
          </w:tcPr>
          <w:p>
            <w:r>
              <w:t>REQUERIMENTOS</w:t>
            </w:r>
          </w:p>
        </w:tc>
        <w:tc>
          <w:tcPr>
            <w:tcW w:type="dxa" w:w="4153"/>
          </w:tcPr>
          <w:p>
            <w:r>
              <w:t>Gerar Requerimentos → Avaliar Requerimentos (Negócio) → Avaliar Requerimentos (TI) → Concluir Etapa de Requerimentos</w:t>
            </w:r>
          </w:p>
        </w:tc>
      </w:tr>
      <w:tr>
        <w:tc>
          <w:tcPr>
            <w:tcW w:type="dxa" w:w="4153"/>
          </w:tcPr>
          <w:p>
            <w:r>
              <w:t>ESPECIFICAÇÃO</w:t>
            </w:r>
          </w:p>
        </w:tc>
        <w:tc>
          <w:tcPr>
            <w:tcW w:type="dxa" w:w="4153"/>
          </w:tcPr>
          <w:p>
            <w:r>
              <w:t>Gerar Especificação → Avaliar Especificação (Negócio) → Concluir Etapa de Especificação</w:t>
            </w:r>
          </w:p>
        </w:tc>
      </w:tr>
      <w:tr>
        <w:tc>
          <w:tcPr>
            <w:tcW w:type="dxa" w:w="4153"/>
          </w:tcPr>
          <w:p>
            <w:r>
              <w:t>EXECUÇÃO / UAT / GO-LIVE</w:t>
            </w:r>
          </w:p>
        </w:tc>
        <w:tc>
          <w:tcPr>
            <w:tcW w:type="dxa" w:w="4153"/>
          </w:tcPr>
          <w:p>
            <w:r>
              <w:t>Planejamento conjunto das 3 fases (na etapa de Execução) → evolução/conclusão de cada fase separadamente → Concluir Projeto/Subprojeto</w:t>
            </w:r>
          </w:p>
        </w:tc>
      </w:tr>
    </w:tbl>
    <w:p>
      <w:r>
        <w:t>Fora dessa sequência linear existem: o caminho Extraordinário (demanda urgente aprovada via trade-off, entra direto em Requerimentos — 5.6), o Fechamento de Ano Fiscal (decisão de Carryover, Hold ou Cancelamento dos projetos que não terminam dentro do ano; não muda a sequência do projeto — 4.2) e o Ajuste de Orçamento (autorização para mover orçamento entre áreas ou produtos diferentes — 4.3).</w:t>
      </w:r>
    </w:p>
    <w:p>
      <w:r>
        <w:t>Ao concluir 100% do Go-Live o projeto NÃO é encerrado automaticamente: fica com o status "Pendente de Termo de Aceite" e só passa para Conclusão pela tela "Concluir Projeto/Subprojeto", depois de o Termo de Aceite ter sido registrado (ver 8.4 e 8.7).</w:t>
      </w:r>
    </w:p>
    <w:p>
      <w:pPr>
        <w:pStyle w:val="Heading1"/>
      </w:pPr>
      <w:r>
        <w:t>4. Ano Fiscal</w:t>
      </w:r>
    </w:p>
    <w:p>
      <w:r>
        <w:t>O sistema trabalha sempre com dois Anos Fiscais ao mesmo tempo: o AF em andamento e o AF seguinte (o "pipeline", onde ficam as demandas que ainda estão em Business Case). A configuração de Anos Fiscais é que alimenta os seletores de Ano Fiscal do Dashboard, Roadmap, Financeiro e Consulta de Projetos (ver 12.1) — não a data do dia.</w:t>
      </w:r>
    </w:p>
    <w:p>
      <w:pPr>
        <w:pStyle w:val="Heading2"/>
      </w:pPr>
      <w:r>
        <w:t>4.1 Abertura Ano Fiscal</w:t>
      </w:r>
    </w:p>
    <w:p>
      <w:r>
        <w:t>Onde: Ano Fiscal &gt; Abertura Ano Fiscal.</w:t>
      </w:r>
    </w:p>
    <w:p>
      <w:r>
        <w:t>Mostra o Ano Fiscal e o trimestre correntes, um cartão com o "Ano Fiscal em Andamento", e permite abrir o recebimento de demandas para o próximo Ano Fiscal. Para abrir o próximo AF, três condições precisam estar satisfeitas ao mesmo tempo:</w:t>
      </w:r>
    </w:p>
    <w:p>
      <w:pPr>
        <w:pStyle w:val="ListBullet"/>
      </w:pPr>
      <w:r>
        <w:t>o AF corrente já está com o orçamento fechado (5.5);</w:t>
      </w:r>
    </w:p>
    <w:p>
      <w:pPr>
        <w:pStyle w:val="ListBullet"/>
      </w:pPr>
      <w:r>
        <w:t>o AF anterior ao corrente já está formalmente FECHADO (Fechamento de Ano Fiscal — 4.2);</w:t>
      </w:r>
    </w:p>
    <w:p>
      <w:pPr>
        <w:pStyle w:val="ListBullet"/>
      </w:pPr>
      <w:r>
        <w:t>o próximo AF ainda não foi aberto.</w:t>
      </w:r>
    </w:p>
    <w:p>
      <w:r>
        <w:t>A tela também exibe o status de fechamento do orçamento e o status de fechamento formal de cada um desses anos (quem fechou e quando).</w:t>
      </w:r>
    </w:p>
    <w:p>
      <w:r>
        <w:t>Quando a base ainda não tem nenhum Ano Fiscal configurado (instalação nova, ou logo após uma limpeza total de base), a tela mostra "Ano Fiscal ainda não inicializado" e oferece um botão para inicializar o Ano Fiscal corrente já aberto para demandas — sem isso, nenhuma tela que depende de Ano Fiscal (Formalizar Demanda, Planejamento Estratégico, etc.) teria o que listar.</w:t>
      </w:r>
    </w:p>
    <w:p>
      <w:pPr>
        <w:pStyle w:val="Heading2"/>
      </w:pPr>
      <w:r>
        <w:t>4.2 Fechamento Ano Fiscal</w:t>
      </w:r>
    </w:p>
    <w:p>
      <w:r>
        <w:t>Onde: Ano Fiscal &gt; Fechamento Ano Fiscal. Substitui a antiga tela "Projetos Carry Over" — todas as ações de Carryover passaram para cá. Podem registrar decisões e fechar o ano: Governança, Gestor de TI e sempre Administrador / Proprietário; os demais perfis só consultam.</w:t>
      </w:r>
    </w:p>
    <w:p>
      <w:r>
        <w:t>Qual Ano Fiscal a tela trata (o "AF alvo", que está sendo encerrado): quando o trimestre corrente é o Q4, é o próprio Ano Fiscal em curso; nos trimestres Q1, Q2 ou Q3, é sempre o Ano Fiscal anterior ao em curso. O AF alvo aparece no topo da tela.</w:t>
      </w:r>
    </w:p>
    <w:p>
      <w:r>
        <w:t>A tela tem duas abas:</w:t>
      </w:r>
    </w:p>
    <w:p>
      <w:pPr>
        <w:pStyle w:val="Heading2"/>
      </w:pPr>
      <w:r>
        <w:t>4.2.1 Aba "Avaliação e Fechamento Ano Fiscal"</w:t>
      </w:r>
    </w:p>
    <w:p>
      <w:r>
        <w:t>Visão consolidada do resultado do AF alvo (contagem de projetos por situação, orçamento por fase e o mesmo Quadro de Orçamento do Dashboard — ver 12.3), com o seletor de agrupamento por Área/Produto (12.2). No topo fica o botão "Fechar Ano Fiscal [AF]".</w:t>
      </w:r>
    </w:p>
    <w:p>
      <w:r>
        <w:t>Fechar o Ano Fiscal abre uma confirmação com uma caixa de comentário; ao confirmar, o sistema grava que o AF foi fechado (quem, quando e o comentário) e registra um log formal. O fechamento formal do Ano Fiscal é DIFERENTE do fechamento do orçamento (5.5): são dois marcos independentes.</w:t>
      </w:r>
    </w:p>
    <w:p>
      <w:r>
        <w:t>O botão só fica habilitado quando NENHUM projeto do AF alvo ainda está "em andamento" — todos precisam ter sido colocados em Carryover Desenvolvimento, Carryover Hold ou Cancelado na aba ao lado. Enquanto houver pendência, a tela mostra "EXISTEM PROJETOS EM ANDAMENTO. TRATE TODOS NA ABA DE AVALIAÇÃO".</w:t>
      </w:r>
    </w:p>
    <w:p>
      <w:r>
        <w:t>O fechamento do Ano Fiscal NÃO altera nada nos projetos — não move orçamento, não muda fase nem status. Ele só grava o marco, o log, e passa a ser exigido para abrir o próximo AF (4.1).</w:t>
      </w:r>
    </w:p>
    <w:p>
      <w:pPr>
        <w:pStyle w:val="Heading2"/>
      </w:pPr>
      <w:r>
        <w:t>4.2.2 Aba "Avaliação Projetos Fechamento Ano Fiscal"</w:t>
      </w:r>
    </w:p>
    <w:p>
      <w:r>
        <w:t>Lista os projetos do AF alvo que ainda não terminaram (fora subprojetos, concluídos, cancelados e reprovados), com orçamento atual, realizado, saldo remanescente (calculado automaticamente: orçamento mais recente menos o realizado) e a decisão atual de cada um. O pool de Carryover para o próximo AF aparece num cartão no topo. Cada projeto oferece quatro ações:</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faz</w:t>
            </w:r>
          </w:p>
        </w:tc>
      </w:tr>
      <w:tr>
        <w:tc>
          <w:tcPr>
            <w:tcW w:type="dxa" w:w="4153"/>
          </w:tcPr>
          <w:p>
            <w:r>
              <w:t>Carryover Desenvolvimento</w:t>
            </w:r>
          </w:p>
        </w:tc>
        <w:tc>
          <w:tcPr>
            <w:tcW w:type="dxa" w:w="4153"/>
          </w:tcPr>
          <w:p>
            <w:r>
              <w:t>Marca o projeto como Carryover (o saldo remanescente entra no pool do próximo AF). O projeto segue em andamento — só passa a ser "projeto do ano que vem".</w:t>
            </w:r>
          </w:p>
        </w:tc>
      </w:tr>
      <w:tr>
        <w:tc>
          <w:tcPr>
            <w:tcW w:type="dxa" w:w="4153"/>
          </w:tcPr>
          <w:p>
            <w:r>
              <w:t>Carryover Hold</w:t>
            </w:r>
          </w:p>
        </w:tc>
        <w:tc>
          <w:tcPr>
            <w:tcW w:type="dxa" w:w="4153"/>
          </w:tcPr>
          <w:p>
            <w:r>
              <w:t>Marca como Carryover e além disso coloca o projeto em Hold (status "HOLD", guardando o status anterior). Também entra no pool do próximo AF; sai das telas operacionais e passa a aparecer em Governança &gt; Retomar Projetos em Hold.</w:t>
            </w:r>
          </w:p>
        </w:tc>
      </w:tr>
      <w:tr>
        <w:tc>
          <w:tcPr>
            <w:tcW w:type="dxa" w:w="4153"/>
          </w:tcPr>
          <w:p>
            <w:r>
              <w:t>Cancelar</w:t>
            </w:r>
          </w:p>
        </w:tc>
        <w:tc>
          <w:tcPr>
            <w:tcW w:type="dxa" w:w="4153"/>
          </w:tcPr>
          <w:p>
            <w:r>
              <w:t>Cancela o projeto (status "CANCELADO"), pedindo o motivo. Se era Carryover, a marcação de carryover é desfeita.</w:t>
            </w:r>
          </w:p>
        </w:tc>
      </w:tr>
      <w:tr>
        <w:tc>
          <w:tcPr>
            <w:tcW w:type="dxa" w:w="4153"/>
          </w:tcPr>
          <w:p>
            <w:r>
              <w:t>Reverter</w:t>
            </w:r>
          </w:p>
        </w:tc>
        <w:tc>
          <w:tcPr>
            <w:tcW w:type="dxa" w:w="4153"/>
          </w:tcPr>
          <w:p>
            <w:r>
              <w:t>Desfaz a última decisão registrada para o projeto (tira o Carryover, sai do Hold ou do Cancelamento) e devolve o projeto ao status em que estava.</w:t>
            </w:r>
          </w:p>
        </w:tc>
      </w:tr>
    </w:tbl>
    <w:p>
      <w:r>
        <w:t>Toda decisão fica registrada em log próprio (decisão, valor remanescente, quem decidiu e quando), visível no Detalhamento do Projeto (seção "Decisões de Fechamento" — ver 12.10). Para Carryover (Desenvolvimento ou Hold), o sistema reconfere a elegibilidade — entre outras coisas, o próximo Ano Fiscal precisa já existir na configuração.</w:t>
      </w:r>
    </w:p>
    <w:p>
      <w:r>
        <w:t>Integridade de subgrupo: quando o Dashboard/Financeiro está agrupando por Área ou por Produto, uma operação que use outro projeto como origem/compensação de orçamento só é aceita se os dois projetos estiverem no mesmo subgrupo (mesma Área ou mesmo Produto). Para cruzar subgrupos é preciso registrar antes uma autorização em Ajuste de Orçamento (4.3).</w:t>
      </w:r>
    </w:p>
    <w:p>
      <w:pPr>
        <w:pStyle w:val="Heading2"/>
      </w:pPr>
      <w:r>
        <w:t>4.3 Ajuste de Orçamento</w:t>
      </w:r>
    </w:p>
    <w:p>
      <w:r>
        <w:t>Onde: Ano Fiscal &gt; Ajuste de Orçamento. Acesso restrito ao Proprietário, ao Administrador ou a quem tiver a atividade "Ajuste de Orçamento" concedida.</w:t>
      </w:r>
    </w:p>
    <w:p>
      <w:r>
        <w:t>Serve para registrar formalmente uma autorização especial para mover orçamento entre subgrupos diferentes (áreas ou produtos distintos) nos processos de Carryover e Demanda Extraordinária. Cada registro guarda: tipo de processo (Carryover ou Extraordinária), agrupamento (Área ou Produto), projeto de origem, projeto de destino, valor, justificativa, quem autorizou e quando. A tela também mostra o relatório de todas as autorizações registradas.</w:t>
      </w:r>
    </w:p>
    <w:p>
      <w:r>
        <w:t>Esta tela continua existindo como registro de autorizações; a validação dos trade-offs que cruzam subgrupo passou a ser feita na tela nova descrita em 4.4.</w:t>
      </w:r>
    </w:p>
    <w:p>
      <w:pPr>
        <w:pStyle w:val="Heading2"/>
      </w:pPr>
      <w:r>
        <w:t>4.4 Validação de Trade-off Extraordinário</w:t>
      </w:r>
    </w:p>
    <w:p>
      <w:r>
        <w:t>Onde: Ano Fiscal &gt; Validação de Trade-off Extraordinário. Consultam todos que têm a atividade; decidem (Aprovar/Rejeitar) GOVERNANÇA, Gestor de TI e sempre Administrador / Proprietário.</w:t>
      </w:r>
    </w:p>
    <w:p>
      <w:r>
        <w:t>Quando o parâmetro "Controle Orçamentário" (15.9) está em Área ou Produto e uma simulação de trade-off da Demanda Extraordinária (5.6) inclui projetos de outro subgrupo, a aprovação naquela tela não aplica os efeitos na hora — cria uma pendência aqui. Nada muda nos projetos e a demanda Extraordinária continua em Business Case até a decisão nesta tela.</w:t>
      </w:r>
    </w:p>
    <w:p>
      <w:r>
        <w:t>Cada pendência mostra o projeto Extraordinário, o modo de controle, o valor e a situação do AF resultante. O botão "Detalhar" abre a lista dos projetos do trade-off (com a ação de cada um e um selo "FORA" para os de outro subgrupo) e três painéis de situação orçamentária (orçado / realizado / saldo): do Ano Fiscal inteiro, do subgrupo do projeto Extraordinário, e por subgrupo envolvido no trade-off.</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Exige um motivo. Aplica os trade-offs (Hold / Cancelar / Ceder Parte), promove a demanda Extraordinária para Requerimentos e registra a decisão (quem, quando, motivo).</w:t>
            </w:r>
          </w:p>
        </w:tc>
      </w:tr>
      <w:tr>
        <w:tc>
          <w:tcPr>
            <w:tcW w:type="dxa" w:w="4153"/>
          </w:tcPr>
          <w:p>
            <w:r>
              <w:t>Rejeitar</w:t>
            </w:r>
          </w:p>
        </w:tc>
        <w:tc>
          <w:tcPr>
            <w:tcW w:type="dxa" w:w="4153"/>
          </w:tcPr>
          <w:p>
            <w:r>
              <w:t>Exige um motivo. Descarta a simulação — nada é aplicado aos projetos; a demanda Extraordinária permanece em Business Case para uma nova simulação.</w:t>
            </w:r>
          </w:p>
        </w:tc>
      </w:tr>
    </w:tbl>
    <w:p>
      <w:pPr>
        <w:pStyle w:val="Heading1"/>
      </w:pPr>
      <w:r>
        <w:t>5. Business Case</w:t>
      </w:r>
    </w:p>
    <w:p>
      <w:pPr>
        <w:pStyle w:val="Heading2"/>
      </w:pPr>
      <w:r>
        <w:t>5.1 Formalizar Demanda</w:t>
      </w:r>
    </w:p>
    <w:p>
      <w:r>
        <w:t>Onde: Business Case &gt; Formalizar Demanda. Ponto de entrada de qualquer demanda nova.</w:t>
      </w:r>
    </w:p>
    <w:p>
      <w:r>
        <w:t>O primeiro campo é o Ano Fiscal da demanda, um select montado a partir da configuração de Anos Fiscais (4), com até duas opções:</w:t>
      </w:r>
    </w:p>
    <w:p>
      <w:pPr>
        <w:pStyle w:val="ListBullet"/>
      </w:pPr>
      <w:r>
        <w:t>o Ano Fiscal em orçamentação (o "pipeline", ainda com o orçamento aberto) — recebe demanda NORMAL;</w:t>
      </w:r>
    </w:p>
    <w:p>
      <w:pPr>
        <w:pStyle w:val="ListBullet"/>
      </w:pPr>
      <w:r>
        <w:t>o Ano Fiscal em andamento (orçamento já fechado e o ano ainda não encerrado formalmente) — recebe apenas Demanda EXTRAORDINÁRIA: ao escolhê-lo, aparece o aviso e a confirmação Sim/Não, e os campos só liberam após o "Sim". Um Ano Fiscal já encerrado (Fechamento Ano Fiscal — 4.2) não aparece.</w:t>
      </w:r>
    </w:p>
    <w:p>
      <w:r>
        <w:t>Se nenhum dos dois existir no momento, o select mostra "Nenhum AF disponível".</w:t>
      </w:r>
    </w:p>
    <w:p>
      <w:r>
        <w:t>Os campos são preenchidos nesta ordem: Data da Solicitação; Código (gerado automaticamente ao salvar) e Nome do Projeto; Objetivo; Produto; Área Solicitante; Pessoa Solicitante / Responsável; Tipo de Projeto; Qualificação da Demanda; associação (Sim/Não) a Pilar / Iniciativa Estratégica; Key Results; o quadro de Benefit Results (Retorno/Benefício, Métrica NPV/ROI quando o tipo permitir, Valor); e a Descrição Sucinta do Projeto.</w:t>
      </w:r>
    </w:p>
    <w:p>
      <w:r>
        <w:t>São obrigatórios: Nome, Objetivo, Produto, Área, Pessoa Solicitante, Tipo de Projeto, Qualificação, Key Results, pelo menos um Benefit Result e a Descrição Sucinta. O Produto "Não Classificado" não é escolhível — ele só existe como valor histórico dos projetos migrados. Se a demanda estiver associada a um Pilar, o Pilar e (quando houver) a Iniciativa também são obrigatórios.</w:t>
      </w:r>
    </w:p>
    <w:p>
      <w:r>
        <w:t>Uma demanda pode ser cancelada a qualquer momento nesta fase, exigindo responsável, data e motivo — o histórico fica em aba própria.</w:t>
      </w:r>
    </w:p>
    <w:p>
      <w:pPr>
        <w:pStyle w:val="Heading2"/>
      </w:pPr>
      <w:r>
        <w:t>5.2 Detalhe da Demanda</w:t>
      </w:r>
    </w:p>
    <w:p>
      <w:r>
        <w:t>Acessado clicando no código de um projeto na lista de Demandas Formalizadas. Enquanto a demanda ainda está "A Planejar", permite editar os dados diretamente; depois de avançar, a descrição original vira somente leitura e ganha um campo de "Informações Adicionais".</w:t>
      </w:r>
    </w:p>
    <w:p>
      <w:pPr>
        <w:pStyle w:val="Heading2"/>
      </w:pPr>
      <w:r>
        <w:t>5.3 Orçamentar Demanda</w:t>
      </w:r>
    </w:p>
    <w:p>
      <w:r>
        <w:t>Onde: Business Case &gt; Orçamentar Demanda. Ao levar a evolução a 100%, o sistema pede classificação financeira (CAPEX/OPEX), valor orçado e a quantidade de horas — o porte é calculado automaticamente a partir das horas. Ao concluir, o projeto passa a "Orçamento Realizado", pronto para o Comitê.</w:t>
      </w:r>
    </w:p>
    <w:p>
      <w:pPr>
        <w:pStyle w:val="Heading2"/>
      </w:pPr>
      <w:r>
        <w:t>5.4 Aprovar Orçamento por Projeto (Comitê)</w:t>
      </w:r>
    </w:p>
    <w:p>
      <w:r>
        <w:t>Onde: Business Case &gt; Aprovar Orçamento por Projeto.</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Pede data de aprovação, data do comitê e nome do aprovador. Projeto segue para Aprovar Orçamento Ano Fiscal.</w:t>
            </w:r>
          </w:p>
        </w:tc>
      </w:tr>
      <w:tr>
        <w:tc>
          <w:tcPr>
            <w:tcW w:type="dxa" w:w="4153"/>
          </w:tcPr>
          <w:p>
            <w:r>
              <w:t>Reprovar</w:t>
            </w:r>
          </w:p>
        </w:tc>
        <w:tc>
          <w:tcPr>
            <w:tcW w:type="dxa" w:w="4153"/>
          </w:tcPr>
          <w:p>
            <w:r>
              <w:t>Pede os mesmos dados mais uma observação — o motivo fica registrado. Projeto é marcado Reprovado.</w:t>
            </w:r>
          </w:p>
        </w:tc>
      </w:tr>
      <w:tr>
        <w:tc>
          <w:tcPr>
            <w:tcW w:type="dxa" w:w="4153"/>
          </w:tcPr>
          <w:p>
            <w:r>
              <w:t>Reavaliar</w:t>
            </w:r>
          </w:p>
        </w:tc>
        <w:tc>
          <w:tcPr>
            <w:tcW w:type="dxa" w:w="4153"/>
          </w:tcPr>
          <w:p>
            <w:r>
              <w:t>Devolve a etapa "Orçamentar Demanda" para 99% e o projeto para "Planejado" — exige motivo no campo Observação.</w:t>
            </w:r>
          </w:p>
        </w:tc>
      </w:tr>
    </w:tbl>
    <w:p>
      <w:r>
        <w:t>Esta fila é só para demandas normais do Ano Fiscal corrente. Demandas Carryover e Extraordinárias não aparecem aqui — têm processos exclusivos (4.2 e 5.6).</w:t>
      </w:r>
    </w:p>
    <w:p>
      <w:pPr>
        <w:pStyle w:val="Heading2"/>
      </w:pPr>
      <w:r>
        <w:t>5.5 Aprovar Orçamento Ano Fiscal</w:t>
      </w:r>
    </w:p>
    <w:p>
      <w:r>
        <w:t>Onde: Business Case &gt; Aprovar Orçamento Ano Fiscal.</w:t>
      </w:r>
    </w:p>
    <w:p>
      <w:r>
        <w:t>Fechamento formal do orçamento anual — consolida os projetos aprovados em Comitê (exceto Extraordinário e Carryover) e mostra quantidade e valor total, em CAPEX/OPEX. Só é possível fechar se não houver projeto do AF pendente de decisão do Comitê. Ao confirmar, os projetos avançam para Requerimentos, o recebimento de demandas normais é encerrado e o sistema grava um log formal (quem fechou, quando, valor e quantidade).</w:t>
      </w:r>
    </w:p>
    <w:p>
      <w:pPr>
        <w:pStyle w:val="Heading2"/>
      </w:pPr>
      <w:r>
        <w:t>5.6 Aprovar Demanda Extraordinária</w:t>
      </w:r>
    </w:p>
    <w:p>
      <w:r>
        <w:t>Onde: Business Case &gt; Aprovar Demanda Extraordinária.</w:t>
      </w:r>
    </w:p>
    <w:p>
      <w:r>
        <w:t>Fluxo de trade-off para demandas urgentes fora do ciclo normal — o usuário escolhe uma demanda Extraordinária pendente e decide, projeto a projeto do portfólio ativo, uma ação: Manter, Hold, Cancelar ou Ceder Parte do Saldo. A aprovação só é liberada quando a situação final do AF fica dentro do orçamento original. Ao aprovar, a demanda Extraordinária vai direto para Requerimentos.</w:t>
      </w:r>
    </w:p>
    <w:p>
      <w:r>
        <w:t>A demanda Extraordinária chega a esta tela assim que a etapa "Orçamentar Demanda" é concluída (100%) — ela NÃO passa pelo Comitê nem pelo fechamento do orçamento do AF. A tela trabalha sobre o Ano Fiscal em andamento (o que já tem o orçamento fechado), que é o AF ao qual as Demandas Extraordinárias pertencem.</w:t>
      </w:r>
    </w:p>
    <w:p>
      <w:r>
        <w:t>Projetos já concluídos não aparecem como candidatos. A lista de projetos elegíveis ao trade-off segue o parâmetro "Controle Orçamentário" (Administração — 15.9): no modo Ano Fiscal (padrão), todos os projetos do AF; no modo Área, só os da mesma área do projeto Extraordinário; no modo Produto, só os do mesmo produto. A tabela separa "Mesmo &lt;área/produto&gt;" de "Outro &lt;área/produto&gt;".</w:t>
      </w:r>
    </w:p>
    <w:p>
      <w:r>
        <w:t>É permitido escolher ações em projetos de outro subgrupo. Nesse caso, ao aprovar (com a simulação já dentro do orçamento), a rodada NÃO é aplicada na hora: vai para a fila de "Validação de Trade-off Extraordinário" (Ano Fiscal — 4.4). Um trade-off 100% dentro do subgrupo (ou com o modo em Ano Fiscal) é aprovado direto e a demanda Extraordinária segue para Requerimentos, como antes.</w:t>
      </w:r>
    </w:p>
    <w:p>
      <w:pPr>
        <w:pStyle w:val="Heading1"/>
      </w:pPr>
      <w:r>
        <w:t>6. Requerimentos</w:t>
      </w:r>
    </w:p>
    <w:p>
      <w:r>
        <w:t>4 etapas sequenciais: Gerar Requerimentos; Avaliar Requerimentos – Negócio (decisão Aprovado/Reprovado); Avaliar Requerimentos – TI (decisão Aprovado/Reprovado); Concluir Etapa de Requerimentos (revisão de horas/valor, porte recalculado, alerta de variação acima de 30% vermelho / 10-30% amarelo).</w:t>
      </w:r>
    </w:p>
    <w:p>
      <w:r>
        <w:t>Se qualquer avaliação for Reprovada: a decisão fica registrada em auditoria, o planejamento de TODAS as etapas de Requerimentos é apagado, e o projeto volta para "A Planejar - Em Revisão" com um selo de reprovação.</w:t>
      </w:r>
    </w:p>
    <w:p>
      <w:pPr>
        <w:pStyle w:val="Heading1"/>
      </w:pPr>
      <w:r>
        <w:t>7. Especificação</w:t>
      </w:r>
    </w:p>
    <w:p>
      <w:r>
        <w:t>Antiga fase "Technical". Etapas: Gerar Especificação (planejamento padrão); Avaliar Especificação – Negócio (única decisão desta fase); Concluir Etapa de Especificação (revisão de horas/valor e alerta de variação comparando com Requerimentos, exibindo também os valores originais do Business Case). A reprovação segue o mesmo mecanismo de reset da fase de Requerimentos.</w:t>
      </w:r>
    </w:p>
    <w:p>
      <w:pPr>
        <w:pStyle w:val="Heading1"/>
      </w:pPr>
      <w:r>
        <w:t>8. Execução, UAT e Go-Live</w:t>
      </w:r>
    </w:p>
    <w:p>
      <w:pPr>
        <w:pStyle w:val="Heading2"/>
      </w:pPr>
      <w:r>
        <w:t>8.1 Planejamento conjunto (Planejar Execução)</w:t>
      </w:r>
    </w:p>
    <w:p>
      <w:r>
        <w:t>Ao chegar em Execução, o sistema abre um único modal para planejar as 3 fases seguintes de uma vez: Execução, UAT e Go-Live — cada uma com seu próprio responsável e datas. Ao confirmar, as 3 etapas já nascem planejadas.</w:t>
      </w:r>
    </w:p>
    <w:p>
      <w:pPr>
        <w:pStyle w:val="Heading2"/>
      </w:pPr>
      <w:r>
        <w:t>8.2 Sub-abas de cada fase</w:t>
      </w:r>
    </w:p>
    <w:p>
      <w:r>
        <w:t>Execução, UAT e Go-Live separam cada atividade em sub-abas próprias, cada uma com seu próprio controle de acesso:</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Sub-abas</w:t>
            </w:r>
          </w:p>
        </w:tc>
      </w:tr>
      <w:tr>
        <w:tc>
          <w:tcPr>
            <w:tcW w:type="dxa" w:w="4153"/>
          </w:tcPr>
          <w:p>
            <w:r>
              <w:t>Execução</w:t>
            </w:r>
          </w:p>
        </w:tc>
        <w:tc>
          <w:tcPr>
            <w:tcW w:type="dxa" w:w="4153"/>
          </w:tcPr>
          <w:p>
            <w:r>
              <w:t>Projetos a Planejar · Projetos em Andamento · Subprojetos</w:t>
            </w:r>
          </w:p>
        </w:tc>
      </w:tr>
      <w:tr>
        <w:tc>
          <w:tcPr>
            <w:tcW w:type="dxa" w:w="4153"/>
          </w:tcPr>
          <w:p>
            <w:r>
              <w:t>UAT</w:t>
            </w:r>
          </w:p>
        </w:tc>
        <w:tc>
          <w:tcPr>
            <w:tcW w:type="dxa" w:w="4153"/>
          </w:tcPr>
          <w:p>
            <w:r>
              <w:t>Retificar/Ratificar Planejamento · Projetos em Andamento</w:t>
            </w:r>
          </w:p>
        </w:tc>
      </w:tr>
      <w:tr>
        <w:tc>
          <w:tcPr>
            <w:tcW w:type="dxa" w:w="4153"/>
          </w:tcPr>
          <w:p>
            <w:r>
              <w:t>Go-Live</w:t>
            </w:r>
          </w:p>
        </w:tc>
        <w:tc>
          <w:tcPr>
            <w:tcW w:type="dxa" w:w="4153"/>
          </w:tcPr>
          <w:p>
            <w:r>
              <w:t>Retificar/Ratificar Planejamento · Projetos em Andamento · Gestão de Ocorrências · Termo de Aceite</w:t>
            </w:r>
          </w:p>
        </w:tc>
      </w:tr>
    </w:tbl>
    <w:p>
      <w:pPr>
        <w:pStyle w:val="Heading2"/>
      </w:pPr>
      <w:r>
        <w:t>8.3 Gestão de Ocorrências (Go-Live)</w:t>
      </w:r>
    </w:p>
    <w:p>
      <w:r>
        <w:t>Registra ocorrências de erro encontradas durante o Go-Live: descrição, data e quem registrou. Cada ocorrência segue o ciclo Aberta → Em Solução → Resolvida. A mesma pessoa pode registrar a solução e depois confirmar.</w:t>
      </w:r>
    </w:p>
    <w:p>
      <w:pPr>
        <w:pStyle w:val="Heading2"/>
      </w:pPr>
      <w:r>
        <w:t>8.4 Termo de Aceite (Go-Live)</w:t>
      </w:r>
    </w:p>
    <w:p>
      <w:r>
        <w:t>Registro formal do aceite do projeto: quem aceitou, data, ressalvas e observações. Fica editável até a conclusão do projeto.</w:t>
      </w:r>
    </w:p>
    <w:p>
      <w:r>
        <w:t>O Termo só pode ser registrado depois que a evolução do Go-Live chega a 100%. Antes disso, na lista da sub-aba "Termo de Aceite" o botão aparece como "Aguardando 100%", e se o modal for aberto ele fica só para consulta, com o aviso de que a evolução ainda não fechou. Também continua bloqueado enquanto existir qualquer ocorrência de erro em aberto.</w:t>
      </w:r>
    </w:p>
    <w:p>
      <w:pPr>
        <w:pStyle w:val="Heading2"/>
      </w:pPr>
      <w:r>
        <w:t>8.5 Ratificar ou retificar o planejamento</w:t>
      </w:r>
    </w:p>
    <w:p>
      <w:r>
        <w:t>Cada uma das 3 fases pode ter seu planejamento ratificado ou retificado individualmente — mas só até a primeira marcação de evolução acima de 0% daquela fase específica.</w:t>
      </w:r>
    </w:p>
    <w:p>
      <w:pPr>
        <w:pStyle w:val="Heading2"/>
      </w:pPr>
      <w:r>
        <w:t>8.6 Subprojetos</w:t>
      </w:r>
    </w:p>
    <w:p>
      <w:r>
        <w:t>Permite dividir um projeto grande em subprojetos independentes, que aparecem em todo o sistema como projetos comuns, ligados ao "pai" apenas para agrupamento.</w:t>
      </w:r>
    </w:p>
    <w:p>
      <w:pPr>
        <w:pStyle w:val="Heading2"/>
      </w:pPr>
      <w:r>
        <w:t>8.7 Concluir Projeto / Subprojeto</w:t>
      </w:r>
    </w:p>
    <w:p>
      <w:r>
        <w:t>Onde: Execução &gt; Concluir Projeto / Subprojeto. Baixa definitiva do projeto. É a ÚNICA forma de um projeto passar para Conclusão: ao registrar 100% no Go-Live o projeto não é encerrado automaticamente — ele fica com o status "Pendente de Termo de Aceite", ainda na fase de Go-Live, e aguarda esta tela. Exige data de conclusão e observação (exibida no Detalhamento do Projeto).</w:t>
      </w:r>
    </w:p>
    <w:p>
      <w:r>
        <w:t>O sistema bloqueia a conclusão de um projeto que passou por Go-Live se: existir qualquer ocorrência de erro com status diferente de Resolvida; ou não existir nenhum Termo de Aceite registrado. Continua também bloqueando quando há subprojetos "filho" ainda não concluídos.</w:t>
      </w:r>
    </w:p>
    <w:p>
      <w:pPr>
        <w:pStyle w:val="Heading1"/>
      </w:pPr>
      <w:r>
        <w:t>9. Regras Comuns às Telas de Planejamento</w:t>
      </w:r>
    </w:p>
    <w:p>
      <w:pPr>
        <w:pStyle w:val="ListBullet"/>
      </w:pPr>
      <w:r>
        <w:t>Datas: início não pode ser anterior a hoje (exige confirmação); término posterior ao início; nenhuma data pode ultrapassar o Ano Fiscal do projeto (exceto Carryover).</w:t>
      </w:r>
    </w:p>
    <w:p>
      <w:pPr>
        <w:pStyle w:val="ListBullet"/>
      </w:pPr>
      <w:r>
        <w:t>Responsável: escolhido de uma lista pré-cadastrada, filtrada por quem tem a atividade concedida para aquela etapa (ver 15.7).</w:t>
      </w:r>
    </w:p>
    <w:p>
      <w:pPr>
        <w:pStyle w:val="ListBullet"/>
      </w:pPr>
      <w:r>
        <w:t>Percentual de evolução: de 0% a 100%, nunca regride. Ao atingir 100%, exige observações obrigatórias, aceita um relatório de evolução opcional, e registra quem concluiu e quando.</w:t>
      </w:r>
    </w:p>
    <w:p>
      <w:pPr>
        <w:pStyle w:val="ListBullet"/>
      </w:pPr>
      <w:r>
        <w:t>Ratificar/Retificar: disponível enquanto a evolução ainda está em 0%.</w:t>
      </w:r>
    </w:p>
    <w:p>
      <w:pPr>
        <w:pStyle w:val="ListBullet"/>
      </w:pPr>
      <w:r>
        <w:t>Alerta de atraso: amarelo até 50 pontos percentuais de atraso, vermelho acima disso.</w:t>
      </w:r>
    </w:p>
    <w:p>
      <w:pPr>
        <w:pStyle w:val="ListBullet"/>
      </w:pPr>
      <w:r>
        <w:t>Notificações por e-mail: disparadas automaticamente quando o ponto estiver configurado (15.4).</w:t>
      </w:r>
    </w:p>
    <w:p>
      <w:pPr>
        <w:pStyle w:val="Heading1"/>
      </w:pPr>
      <w:r>
        <w:t>10. Governança</w:t>
      </w:r>
    </w:p>
    <w:p>
      <w:pPr>
        <w:pStyle w:val="Heading2"/>
      </w:pPr>
      <w:r>
        <w:t>10.1 Cobrança de Ajustes</w:t>
      </w:r>
    </w:p>
    <w:p>
      <w:r>
        <w:t>Lista projetos com farol crítico, evolução parada ou vencidos. O usuário seleciona projetos, escolhe um modelo de e-mail de Governança e envia a cobrança.</w:t>
      </w:r>
    </w:p>
    <w:p>
      <w:pPr>
        <w:pStyle w:val="Heading2"/>
      </w:pPr>
      <w:r>
        <w:t>10.2 Retomar Projetos em Hold</w:t>
      </w:r>
    </w:p>
    <w:p>
      <w:r>
        <w:t>Lista projetos em Hold, mostrando quando/por quem foram colocados nessa situação. Ao retomar, o projeto volta para "A Planejar" na fase em que estava — o orçamento cedido no trade-off não é devolvido automaticamente.</w:t>
      </w:r>
    </w:p>
    <w:p>
      <w:pPr>
        <w:pStyle w:val="Heading2"/>
      </w:pPr>
      <w:r>
        <w:t>10.3 Aprovar Diferenças de Orçamento</w:t>
      </w:r>
    </w:p>
    <w:p>
      <w:r>
        <w:t>Registra a aprovação de uma diferença de orçamento de um projeto (quem aprovou, quando e o motivo), liberando o projeto que estava bloqueado por variação acima do percentual configurado (ver 15.6).</w:t>
      </w:r>
    </w:p>
    <w:p>
      <w:pPr>
        <w:pStyle w:val="Heading1"/>
      </w:pPr>
      <w:r>
        <w:t>11. Contratos e Fornecedores</w:t>
      </w:r>
    </w:p>
    <w:p>
      <w:pPr>
        <w:pStyle w:val="Heading2"/>
      </w:pPr>
      <w:r>
        <w:t>11.1 Fornecedores</w:t>
      </w:r>
    </w:p>
    <w:p>
      <w:r>
        <w:t>Cadastro dos fornecedores/terceiros (antes "Empresas Terceirizadas"). Abas "Cadastrar Novo Fornecedor" e "Fornecedores Cadastrados". Campos: código, nome, e-mail de contato, ativo/inativo, e dois atributos do canal de pagamento por e-mail: (A) "envia pagamentos por e-mail" — sim/não, alterável a qualquer momento; e (B) "envio aprovado" — sim/não, que não é editável direto: liga quando o e-mail inicial de habilitação do fornecedor (R$ 0,10) é validado em Pendências de Contratos (11.5). Ao ligar A com e-mail informado, o sistema enfileira ao fornecedor o template MODELO PADRÃO PARA ENVIO DE PAGAMENTOS E NOTA FISCAL. Nas telas de pagamento o fornecedor é sempre trazido do contrato por consulta, nunca digitado.</w:t>
      </w:r>
    </w:p>
    <w:p>
      <w:pPr>
        <w:pStyle w:val="Heading2"/>
      </w:pPr>
      <w:r>
        <w:t>11.2 Contratos Terceirizados</w:t>
      </w:r>
    </w:p>
    <w:p>
      <w:r>
        <w:t>2 abas — "Novos Contratos" e "Contratos Ativos", com status Ativo/Inativo. O cadastro do contrato (fornecedor, valor total, datas, horas) não exige um projeto na criação. O número do contrato é gerado automaticamente por Ano Fiscal, no formato FORNECEDOR + AAAA + MM + sequência — não é digitado. Vincular a projetos é a função separada abaixo.</w:t>
      </w:r>
    </w:p>
    <w:p>
      <w:pPr>
        <w:pStyle w:val="Heading2"/>
      </w:pPr>
      <w:r>
        <w:t>11.3 Vincular Projeto e Contrato</w:t>
      </w:r>
    </w:p>
    <w:p>
      <w:r>
        <w:t>Liga contratos já cadastrados a um ou mais projetos, com um valor próprio por vínculo. Duas visões, na mesma tela:</w:t>
      </w:r>
    </w:p>
    <w:p>
      <w:pPr>
        <w:pStyle w:val="ListBullet"/>
      </w:pPr>
      <w:r>
        <w:t>Visão Projeto → Contrato — parte de um projeto e distribui o orçamento dele entre os contratos.</w:t>
      </w:r>
    </w:p>
    <w:p>
      <w:pPr>
        <w:pStyle w:val="ListBullet"/>
      </w:pPr>
      <w:r>
        <w:t>Visão Contrato → Projeto — parte de um contrato e distribui o valor dele entre os projetos, mostrando total, distribuído, saldo e realizado do contrato.</w:t>
      </w:r>
    </w:p>
    <w:p>
      <w:pPr>
        <w:pStyle w:val="ListBullet"/>
      </w:pPr>
      <w:r>
        <w:t>Ao selecionar um projeto em qualquer das visões, os valores dele aparecem no painel: orçamento total, já vinculado e saldo — e as horas equivalentes.</w:t>
      </w:r>
    </w:p>
    <w:p>
      <w:pPr>
        <w:pStyle w:val="ListBullet"/>
      </w:pPr>
      <w:r>
        <w:t>Um contrato pode ser vinculado a vários projetos, e um projeto pode ter vários contratos. A soma dos vínculos de um projeto não pode superar o orçamento dele; a de um contrato, o valor total do contrato.</w:t>
      </w:r>
    </w:p>
    <w:p>
      <w:pPr>
        <w:pStyle w:val="ListBullet"/>
      </w:pPr>
      <w:r>
        <w:t>Um vínculo só pode ser editado ou excluído enquanto não tiver nenhum valor realizado.</w:t>
      </w:r>
    </w:p>
    <w:p>
      <w:pPr>
        <w:pStyle w:val="ListBullet"/>
      </w:pPr>
      <w:r>
        <w:t>Toda criação, alteração ou exclusão fica registrada em histórico, visível no Detalhamento do Projeto.</w:t>
      </w:r>
    </w:p>
    <w:p>
      <w:pPr>
        <w:pStyle w:val="Heading2"/>
      </w:pPr>
      <w:r>
        <w:t>11.4 Registro de Valores por Nota Fiscal</w:t>
      </w:r>
    </w:p>
    <w:p>
      <w:r>
        <w:t>Registra o pagamento de uma Nota Fiscal. Uma NF pode envolver vários projetos do mesmo contrato: informa-se o valor total da NF e o rateio por projeto. O fornecedor vem do contrato (consulta). Regras: a soma do rateio tem de fechar com o total da NF; o rateio de cada projeto não pode superar o saldo do vínculo; e a soma dos pagamentos do contrato não pode superar o valor contratado. O anexo da NF é enviado na própria tela. É o mesmo formulário do lançamento manual de pendências (11.5). Todo pagamento aprovado passa a compor o valor realizado do projeto vinculado, usado no Dashboard e nos indicadores.</w:t>
      </w:r>
    </w:p>
    <w:p>
      <w:pPr>
        <w:pStyle w:val="Heading2"/>
      </w:pPr>
      <w:r>
        <w:t>11.5 Pendências de Contratos</w:t>
      </w:r>
    </w:p>
    <w:p>
      <w:pPr/>
      <w:r>
        <w:t>Área de staging (conferência) do módulo — nenhum pagamento ou proposta entra na base oficial sem passar por aqui. Faz parte do módulo FINANCEIRO; o acesso é pela atividade de catálogo contratos_pendencias (consultar / importar / aprovar), concedível a qualquer perfil.</w:t>
      </w:r>
    </w:p>
    <w:p>
      <w:pPr/>
      <w:r>
        <w:t>Três canais de entrada, todos caindo como pendência a aprovar:</w:t>
      </w:r>
    </w:p>
    <w:p>
      <w:pPr>
        <w:pStyle w:val="ListBullet"/>
      </w:pPr>
      <w:r>
        <w:t>Lançamento manual — o mesmo formulário do Registro de Valores por Nota Fiscal (11.4).</w:t>
      </w:r>
    </w:p>
    <w:p>
      <w:pPr>
        <w:pStyle w:val="ListBullet"/>
      </w:pPr>
      <w:r>
        <w:t>Planilha Excel — colunas Tipo de Lançamento, Contrato, Projeto, Valor, Data de Referência, Nº da NF, Observações. Linhas com o mesmo Contrato + Nº da NF viram uma pendência rateada. Exemplos em docs/exemplo_pendencias_contratos.xlsx e docs/exemplo_pagamento_rateio_excel.xlsx.</w:t>
      </w:r>
    </w:p>
    <w:p>
      <w:pPr>
        <w:pStyle w:val="ListBullet"/>
      </w:pPr>
      <w:r>
        <w:t>E-mail — uma mensagem no formato padronizado (assunto "[CONTRATOS] TIPO - Contrato ... - Projeto ..."; corpo com os rótulos Referência, Tipo de Lançamento, Contrato, Projeto, Valor, Data de Referência) é recebida por um webhook e vira pendência com origem "e-mail". Contratos ligados a vários projetos usam o formato com bloco "Rateio:" e "Valor Total da NF:" (a soma do rateio tem de fechar com o total). Campo obrigatório ausente → pendência marcada com "erro de leitura" (nunca descartada). A aba "Modelo de E-mail" desta tela gera o texto pronto (escolhe o contrato; sai com o número e os projetos vinculados, no formato simples ou com rateio). Configuração do canal em docs/CANAL_EMAIL_CONTRATOS.md. Um fornecedor só tem os e-mails de pagamento aceitos depois de habilitado (atributo B em 11.1): ele manda um e-mail inicial com referência HABILITACAO-FORNECEDOR, código, contrato, projeto e R$ 0,10, que entra como pendência tipo Habilitação; ao aprová-la, o envio fica liberado. Antes disso, e-mails de pagamento desse fornecedor entram com erro de leitura ("fornecedor não habilitado").</w:t>
      </w:r>
    </w:p>
    <w:p>
      <w:pPr/>
      <w:r>
        <w:t>Nota Fiscal: cada pendência de pagamento aceita o anexo da NF (PDF, JPG ou PNG) no Supabase Storage. A aprovação fica bloqueada sem a NF, salvo dispensa com justificativa registrada. Uma pendência sem NF por mais de 5 dias úteis gera automaticamente (uma vez) um e-mail de cobrança para o e-mail de contato cadastrado do fornecedor (11.1), pedindo o reenvio da NF — sem depender de nenhuma configuração em Gestão do Fluxo. A tela "Pagamentos Pendentes de NF" (11.6) lista essas pendências e permite reenviar a cobrança manualmente a qualquer momento.</w:t>
      </w:r>
    </w:p>
    <w:p>
      <w:pPr/>
      <w:r>
        <w:t>Aprovar promove a pendência para a base oficial (contratos_pagamentos + itens de rateio, ou contratos_propostas) e atualiza o valor realizado de cada projeto. Rejeitar exige motivo. Toda ação fica em trilha de auditoria append-only.</w:t>
      </w:r>
    </w:p>
    <w:p>
      <w:r>
        <w:t>No Detalhamento de uma Pendência, o campo "Fornecedor" mostra o nome cadastrado do fornecedor, resolvido a partir do contrato já vinculado à pendência (cai de volta para o texto solto do e-mail se o contrato ainda não foi resolvido); o campo "Valor" é exibido formatado em R$; e o campo "Projeto" fica bloqueado quando a pendência tem rateio entre vários projetos — o detalhamento correto por projeto está na tabela de rateio logo abaixo, evitando escolher um projeto só por engano.</w:t>
      </w:r>
    </w:p>
    <w:p>
      <w:pPr>
        <w:pStyle w:val="Heading2"/>
      </w:pPr>
      <w:r>
        <w:t>11.6 Pagamentos Pendentes de NF</w:t>
      </w:r>
    </w:p>
    <w:p>
      <w:r>
        <w:t>Tela dedicada aos pagamentos com Nota Fiscal ainda não recebida (mesma base de Pendências de Contratos, filtrada por tipo Pagamento + NF pendente), com destaque visual para os que já passaram de 5 dias úteis em aberto e um botão "Cobrar" por linha, que dispara manualmente o e-mail de cobrança para o e-mail cadastrado do fornecedor a qualquer momento — complementa o aviso automático (11.5), que só dispara uma vez por pendência.</w:t>
      </w:r>
    </w:p>
    <w:p>
      <w:pPr>
        <w:pStyle w:val="Heading2"/>
      </w:pPr>
      <w:r>
        <w:t>11.7 Relatório de Projetos</w:t>
      </w:r>
    </w:p>
    <w:p>
      <w:r>
        <w:t>Lista clicável de todos os projetos. Ao clicar, mostra o cabeçalho completo e a seção "Contratos Vinculados" — cada contrato ligado ao projeto, com valor alocado e realizado, e os pagamentos daquele vínculo. Cada pagamento permite abrir a Nota Fiscal anexada.</w:t>
      </w:r>
    </w:p>
    <w:p>
      <w:pPr>
        <w:pStyle w:val="Heading1"/>
      </w:pPr>
      <w:r>
        <w:t>12. Indicadores e Acompanhamento do Portfólio</w:t>
      </w:r>
    </w:p>
    <w:p>
      <w:pPr>
        <w:pStyle w:val="Heading2"/>
      </w:pPr>
      <w:r>
        <w:t>12.1 Seletor de Ano Fiscal</w:t>
      </w:r>
    </w:p>
    <w:p>
      <w:r>
        <w:t>Dashboard, Consulta de Projetos, Roadmap e Financeiro compartilham o mesmo tipo de seletor de Ano Fiscal. A lista de opções é montada a partir da configuração de Anos Fiscais (4), não da data do dia:</w:t>
      </w:r>
    </w:p>
    <w:p>
      <w:pPr>
        <w:pStyle w:val="ListBullet"/>
      </w:pPr>
      <w:r>
        <w:t>uma opção para cada Ano Fiscal cadastrado (ex.: "Ano Fiscal AF2026", "Ano Fiscal AF2027"), com uma etiqueta indicando se o orçamento/ano está aberto, fechado ou em pipeline;</w:t>
      </w:r>
    </w:p>
    <w:p>
      <w:pPr>
        <w:pStyle w:val="ListBullet"/>
      </w:pPr>
      <w:r>
        <w:t>"Pipeline" — só os projetos do próximo AF que ainda estão em Business Case;</w:t>
      </w:r>
    </w:p>
    <w:p>
      <w:pPr>
        <w:pStyle w:val="ListBullet"/>
      </w:pPr>
      <w:r>
        <w:t>"Todos" — o portfólio inteiro, de todos os anos.</w:t>
      </w:r>
    </w:p>
    <w:p>
      <w:r>
        <w:t>Cada tela guarda a sua própria seleção. Ao escolher um Ano Fiscal específico, os projetos em Carryover aparecem junto, independentemente do ano de origem. O Dashboard, o Roadmap e o Financeiro abrem no AF em andamento; a Consulta de Projetos abre em "Todos".</w:t>
      </w:r>
    </w:p>
    <w:p>
      <w:pPr>
        <w:pStyle w:val="Heading2"/>
      </w:pPr>
      <w:r>
        <w:t>12.2 Agrupamento de Orçamento (Ano Fiscal / Área / Produto)</w:t>
      </w:r>
    </w:p>
    <w:p>
      <w:r>
        <w:t>NOVO. No Dashboard e no Financeiro, acima do quadro de valores, há um seletor de agrupamento:</w:t>
      </w:r>
    </w:p>
    <w:p>
      <w:pPr>
        <w:pStyle w:val="ListBullet"/>
      </w:pPr>
      <w:r>
        <w:t>Ano Fiscal (padrão) — a visão de orçamento do AF inteiro.</w:t>
      </w:r>
    </w:p>
    <w:p>
      <w:pPr>
        <w:pStyle w:val="ListBullet"/>
      </w:pPr>
      <w:r>
        <w:t>Área — aparece um segundo campo para escolher qual Área; a tela passa a considerar só os projetos daquela Área.</w:t>
      </w:r>
    </w:p>
    <w:p>
      <w:pPr>
        <w:pStyle w:val="ListBullet"/>
      </w:pPr>
      <w:r>
        <w:t>Produto — aparece um segundo campo para escolher qual Produto; a tela passa a considerar só os projetos daquele Produto.</w:t>
      </w:r>
    </w:p>
    <w:p>
      <w:r>
        <w:t>A seleção ativa é mostrada na linha "Visão por:" e recalcula a tela inteira — quadro de valores, listas e gráficos — do mesmo jeito que o filtro de Ano Fiscal. O agrupamento ativo também é o que define os "subgrupos" usados nas regras de integridade de Carryover e Extraordinária (4.2, 5.6) e no Ajuste de Orçamento (4.3).</w:t>
      </w:r>
    </w:p>
    <w:p>
      <w:pPr>
        <w:pStyle w:val="Heading2"/>
      </w:pPr>
      <w:r>
        <w:t>12.3 Quadro de Orçamento</w:t>
      </w:r>
    </w:p>
    <w:p>
      <w:r>
        <w:t>NOVO. Substitui os antigos cartões de KPI e os quadros separados de CAPEX/OPEX e de Carry Over. É uma tabela única, com o cabeçalho "Visão por: [seleção ativa]" e 3 colunas (Total, CAPEX, OPEX). As duas primeiras linhas são contagens de projetos; as demais são valores em R$:</w:t>
      </w:r>
    </w:p>
    <w:tbl>
      <w:tblPr>
        <w:tblStyle w:val="LightGrid-Accent1"/>
        <w:tblW w:type="auto" w:w="0"/>
        <w:tblLook w:firstColumn="1" w:firstRow="1" w:lastColumn="0" w:lastRow="0" w:noHBand="0" w:noVBand="1" w:val="04A0"/>
      </w:tblPr>
      <w:tblGrid>
        <w:gridCol w:w="4153"/>
        <w:gridCol w:w="4153"/>
      </w:tblGrid>
      <w:tr>
        <w:tc>
          <w:tcPr>
            <w:tcW w:type="dxa" w:w="4153"/>
          </w:tcPr>
          <w:p>
            <w:r>
              <w:rPr>
                <w:b/>
              </w:rPr>
              <w:t>Linha</w:t>
            </w:r>
          </w:p>
        </w:tc>
        <w:tc>
          <w:tcPr>
            <w:tcW w:type="dxa" w:w="4153"/>
          </w:tcPr>
          <w:p>
            <w:r>
              <w:rPr>
                <w:b/>
              </w:rPr>
              <w:t>O que representa</w:t>
            </w:r>
          </w:p>
        </w:tc>
      </w:tr>
      <w:tr>
        <w:tc>
          <w:tcPr>
            <w:tcW w:type="dxa" w:w="4153"/>
          </w:tcPr>
          <w:p>
            <w:r>
              <w:t>Total de Projetos para Gerar Orçamento</w:t>
            </w:r>
          </w:p>
        </w:tc>
        <w:tc>
          <w:tcPr>
            <w:tcW w:type="dxa" w:w="4153"/>
          </w:tcPr>
          <w:p>
            <w:r>
              <w:t>Contagem dos projetos do recorte que ainda estão em Business Case, antes de ter orçamento. Sem separação CAPEX/OPEX.</w:t>
            </w:r>
          </w:p>
        </w:tc>
      </w:tr>
      <w:tr>
        <w:tc>
          <w:tcPr>
            <w:tcW w:type="dxa" w:w="4153"/>
          </w:tcPr>
          <w:p>
            <w:r>
              <w:t>Total de Projetos com Orçamento</w:t>
            </w:r>
          </w:p>
        </w:tc>
        <w:tc>
          <w:tcPr>
            <w:tcW w:type="dxa" w:w="4153"/>
          </w:tcPr>
          <w:p>
            <w:r>
              <w:t>Contagem dos projetos do recorte que já compõem o total do ano — aprovados, Carryover ou Extraordinários.</w:t>
            </w:r>
          </w:p>
        </w:tc>
      </w:tr>
      <w:tr>
        <w:tc>
          <w:tcPr>
            <w:tcW w:type="dxa" w:w="4153"/>
          </w:tcPr>
          <w:p>
            <w:r>
              <w:t>Orçamento Fechado</w:t>
            </w:r>
          </w:p>
        </w:tc>
        <w:tc>
          <w:tcPr>
            <w:tcW w:type="dxa" w:w="4153"/>
          </w:tcPr>
          <w:p>
            <w:r>
              <w:t>Soma do orçamento oficial dos projetos normais (fora Extraordinário e Carryover).</w:t>
            </w:r>
          </w:p>
        </w:tc>
      </w:tr>
      <w:tr>
        <w:tc>
          <w:tcPr>
            <w:tcW w:type="dxa" w:w="4153"/>
          </w:tcPr>
          <w:p>
            <w:r>
              <w:t>Orçamento Projetos Extraordinário</w:t>
            </w:r>
          </w:p>
        </w:tc>
        <w:tc>
          <w:tcPr>
            <w:tcW w:type="dxa" w:w="4153"/>
          </w:tcPr>
          <w:p>
            <w:r>
              <w:t>Soma do orçamento das demandas Extraordinárias.</w:t>
            </w:r>
          </w:p>
        </w:tc>
      </w:tr>
      <w:tr>
        <w:tc>
          <w:tcPr>
            <w:tcW w:type="dxa" w:w="4153"/>
          </w:tcPr>
          <w:p>
            <w:r>
              <w:t>Orçamento Carry Over — Em Andamento</w:t>
            </w:r>
          </w:p>
        </w:tc>
        <w:tc>
          <w:tcPr>
            <w:tcW w:type="dxa" w:w="4153"/>
          </w:tcPr>
          <w:p>
            <w:r>
              <w:t>Soma dos saldos de carryover congelados dos projetos em Carryover Desenvolvimento (que seguem em andamento).</w:t>
            </w:r>
          </w:p>
        </w:tc>
      </w:tr>
      <w:tr>
        <w:tc>
          <w:tcPr>
            <w:tcW w:type="dxa" w:w="4153"/>
          </w:tcPr>
          <w:p>
            <w:r>
              <w:t>Orçamento Carry Over — Em Hold</w:t>
            </w:r>
          </w:p>
        </w:tc>
        <w:tc>
          <w:tcPr>
            <w:tcW w:type="dxa" w:w="4153"/>
          </w:tcPr>
          <w:p>
            <w:r>
              <w:t>Soma dos saldos de carryover congelados dos projetos em Carryover Hold.</w:t>
            </w:r>
          </w:p>
        </w:tc>
      </w:tr>
      <w:tr>
        <w:tc>
          <w:tcPr>
            <w:tcW w:type="dxa" w:w="4153"/>
          </w:tcPr>
          <w:p>
            <w:r>
              <w:t>Orçamento Atual</w:t>
            </w:r>
          </w:p>
        </w:tc>
        <w:tc>
          <w:tcPr>
            <w:tcW w:type="dxa" w:w="4153"/>
          </w:tcPr>
          <w:p>
            <w:r>
              <w:t>Fechado + Extraordinário + Carry Over (Em Andamento + Em Hold) — o total vigente do recorte.</w:t>
            </w:r>
          </w:p>
        </w:tc>
      </w:tr>
      <w:tr>
        <w:tc>
          <w:tcPr>
            <w:tcW w:type="dxa" w:w="4153"/>
          </w:tcPr>
          <w:p>
            <w:r>
              <w:t>Valores Já Realizados</w:t>
            </w:r>
          </w:p>
        </w:tc>
        <w:tc>
          <w:tcPr>
            <w:tcW w:type="dxa" w:w="4153"/>
          </w:tcPr>
          <w:p>
            <w:r>
              <w:t>Quanto já foi efetivamente gasto/pago nos projetos do recorte.</w:t>
            </w:r>
          </w:p>
        </w:tc>
      </w:tr>
      <w:tr>
        <w:tc>
          <w:tcPr>
            <w:tcW w:type="dxa" w:w="4153"/>
          </w:tcPr>
          <w:p>
            <w:r>
              <w:t>Orçamento a Realizar</w:t>
            </w:r>
          </w:p>
        </w:tc>
        <w:tc>
          <w:tcPr>
            <w:tcW w:type="dxa" w:w="4153"/>
          </w:tcPr>
          <w:p>
            <w:r>
              <w:t>Orçamento Atual − Valores Já Realizados (verde quando positivo, vermelho quando negativo).</w:t>
            </w:r>
          </w:p>
        </w:tc>
      </w:tr>
    </w:tbl>
    <w:p>
      <w:pPr>
        <w:pStyle w:val="Heading2"/>
      </w:pPr>
      <w:r>
        <w:t>12.4 Dashboard</w:t>
      </w:r>
    </w:p>
    <w:p>
      <w:r>
        <w:t>Onde: barra superior &gt; Dashboard. Traz o seletor de agrupamento e o Quadro de Orçamento (12.2 e 12.3), o quadro "Status Detalhado da Carteira" (ordenado por padrão pelo número sequencial do código), os funis de aprovação e a consolidação por fase.</w:t>
      </w:r>
    </w:p>
    <w:p>
      <w:r>
        <w:t>O quadro "Projetos na Criação do Ano Fiscal" tem, como última linha antes do total, o "Total de Projetos Cancelados" do recorte.</w:t>
      </w:r>
    </w:p>
    <w:p>
      <w:pPr>
        <w:pStyle w:val="Heading2"/>
      </w:pPr>
      <w:r>
        <w:t>12.5 Consulta de Projetos</w:t>
      </w:r>
    </w:p>
    <w:p>
      <w:r>
        <w:t>Onde: barra superior &gt; Consulta de Projetos. Tela dedicada de consulta ao portfólio — uma cópia segregada do quadro "Status Detalhado da Carteira", com os mesmos filtros e ordenação, mas com seu próprio seletor de Ano Fiscal (padrão "Todos"), independente do Dashboard.</w:t>
      </w:r>
    </w:p>
    <w:p>
      <w:pPr>
        <w:pStyle w:val="Heading2"/>
      </w:pPr>
      <w:r>
        <w:t>12.6 Roadmap</w:t>
      </w:r>
    </w:p>
    <w:p>
      <w:r>
        <w:t>4 visões alternativas: Por Fase, Por Área, Por Responsável e Por Iniciativa Estratégica. Um usuário comum só vê projetos da própria área (a não ser que tenha Acesso Irrestrito ou seja da área de Tecnologia da Informação); o Administrador e o Proprietário veem o portfólio inteiro.</w:t>
      </w:r>
    </w:p>
    <w:p>
      <w:r>
        <w:t>A linha do tempo (Gantt) começa no mês de início do Ano Fiscal configurado em Administração &gt; Período do Ano Fiscal (15.10) — com o padrão (abril) a grade vai de ABR a MAR, como sempre.</w:t>
      </w:r>
    </w:p>
    <w:p>
      <w:pPr>
        <w:pStyle w:val="Heading2"/>
      </w:pPr>
      <w:r>
        <w:t>12.7 Financeiro (Visão de Orçamento)</w:t>
      </w:r>
    </w:p>
    <w:p>
      <w:r>
        <w:t>Onde: barra superior &gt; Financeiro. Traz o mesmo seletor de agrupamento e Quadro de Orçamento do Dashboard (12.2 e 12.3) e a comparação projeto a projeto de Business Case, Requerimentos e Especificação, com semáforo de variação (verde/amarelo/vermelho, informativo).</w:t>
      </w:r>
    </w:p>
    <w:p>
      <w:pPr>
        <w:pStyle w:val="Heading2"/>
      </w:pPr>
      <w:r>
        <w:t>12.8 Alertas de Orçamento</w:t>
      </w:r>
    </w:p>
    <w:p>
      <w:r>
        <w:t>Lista consolidada dos alertas de variação (valor e horas) de Requerimentos e Especificação, vermelhos primeiro.</w:t>
      </w:r>
    </w:p>
    <w:p>
      <w:pPr>
        <w:pStyle w:val="Heading2"/>
      </w:pPr>
      <w:r>
        <w:t>12.9 Cronograma &amp; Evolução</w:t>
      </w:r>
    </w:p>
    <w:p>
      <w:r>
        <w:t>Reúne todas as fases numa visão só: farol de prazo por projeto, filtros e "Responsáveis sem Atualização".</w:t>
      </w:r>
    </w:p>
    <w:p>
      <w:pPr>
        <w:pStyle w:val="Heading2"/>
      </w:pPr>
      <w:r>
        <w:t>12.10 Detalhamento do Projeto</w:t>
      </w:r>
    </w:p>
    <w:p>
      <w:r>
        <w:t>Acessado clicando no código de qualquer projeto. O cabeçalho é organizado em blocos rotulados, com divisórias, e os títulos que descrevem o projeto aparecem em azul e negrito para destaque.</w:t>
      </w:r>
    </w:p>
    <w:p>
      <w:r>
        <w:t>Além do cabeçalho, valores por fase, linha do tempo de etapas e histórico de Hold/trade-off, mostra: a Observação de Conclusão do Projeto; as Ocorrências de Go-Live e o Termo de Aceite (quando o projeto passou por Go-Live); a seção "Decisões de Fechamento" (o histórico de Carryover Desenvolvimento / Carryover Hold / Cancelamento / Reversão feito na tela Fechamento Ano Fiscal — ver 4.2); e os Vínculos de Contrato, com o histórico completo de criação/alteração/exclusão.</w:t>
      </w:r>
    </w:p>
    <w:p>
      <w:pPr>
        <w:pStyle w:val="Heading1"/>
      </w:pPr>
      <w:r>
        <w:t>13. Perfis de Acesso — Telas de Administração</w:t>
      </w:r>
    </w:p>
    <w:p>
      <w:pPr>
        <w:pStyle w:val="Heading2"/>
      </w:pPr>
      <w:r>
        <w:t>13.1 Usuários</w:t>
      </w:r>
    </w:p>
    <w:p>
      <w:r>
        <w:t>2 abas — "Cadastrar" e "Cadastrados". A criação de uma conta gera senha provisória e obriga a troca no primeiro acesso (o link de recuperação expirado agora mostra uma mensagem clara em vez de erro). A edição de um perfil usa um select de área validado, para não quebrar a Restrição de Área. Exclusão é sempre lógica. Um usuário que tem o papel PROPRIETÁRIO não aparece nesta lista — nem pode ser editado ou inativado — para quem não é Proprietário.</w:t>
      </w:r>
    </w:p>
    <w:p>
      <w:pPr>
        <w:pStyle w:val="Heading2"/>
      </w:pPr>
      <w:r>
        <w:t>13.2 Funções e Permissões</w:t>
      </w:r>
    </w:p>
    <w:p>
      <w:r>
        <w:t>O cadastro de um papel é um checklist do catálogo de atividades (2.1), agrupado por Grupo → Subgrupo. Cada atividade tem as 4 caixas Consultar / Incluir / Alterar / Deletar (2.3). Continua exigindo pelo menos uma atividade marcada, a não ser que o papel seja Acesso Irrestrito. A caixa "É Proprietário" e a própria função de Proprietário só aparecem para quem já é Proprietário. Um papel só pode ser inativado se nenhum usuário ainda o tiver atribuído.</w:t>
      </w:r>
    </w:p>
    <w:p>
      <w:r>
        <w:t>Caixa "Ignora Restrição de Área" (2.5) — independente de Acesso Irrestrito: marca que essa função enxerga todas as áreas nas telas com Restrição de Área ligada, mas continua sujeita ao catálogo de atividades normalmente (só isso muda). Fica redundante, mas inofensiva, se Acesso Irrestrito já estiver marcado — nesse caso a lista de Funções Cadastradas não mostra a etiqueta "Ignora Restrição de Área" (some sob a etiqueta "Acesso Irrestrito", que já cobre o caso).</w:t>
      </w:r>
    </w:p>
    <w:p>
      <w:pPr>
        <w:pStyle w:val="Heading2"/>
      </w:pPr>
      <w:r>
        <w:t>13.3 Atribuição de Funções aos Usuários</w:t>
      </w:r>
    </w:p>
    <w:p>
      <w:r>
        <w:t>Vincula um ou mais papéis já cadastrados a cada usuário. A função PROPRIETÁRIO, e os usuários que já a têm, só aparecem para quem é Proprietário.</w:t>
      </w:r>
    </w:p>
    <w:p>
      <w:pPr>
        <w:pStyle w:val="Heading2"/>
      </w:pPr>
      <w:r>
        <w:t>13.4 Responsáveis por Atividade</w:t>
      </w:r>
    </w:p>
    <w:p>
      <w:r>
        <w:t>Atribui as etapas do workflow diretamente a Usuários já cadastrados — 2 abas: "Atribuir Atividades" (escolhe um usuário e marca as etapas para as quais ele pode ser designado responsável) e "Atribuições Cadastradas" (lista agrupada por usuário). Esta tela fica no grupo Administração (ver 15.7).</w:t>
      </w:r>
    </w:p>
    <w:p>
      <w:pPr>
        <w:pStyle w:val="Heading2"/>
      </w:pPr>
      <w:r>
        <w:t>13.5 Restrição de Área por Atividade</w:t>
      </w:r>
    </w:p>
    <w:p>
      <w:r>
        <w:t>Lista o catálogo de atividades completo, agrupado por Grupo → Subgrupo (só leitura), com um interruptor Sim/Não por atividade para o campo Restrição de Área (2.5). É a única coisa editável aqui.</w:t>
      </w:r>
    </w:p>
    <w:p>
      <w:pPr>
        <w:pStyle w:val="Heading2"/>
      </w:pPr>
      <w:r>
        <w:t>13.6 Licenciamento de Módulos</w:t>
      </w:r>
    </w:p>
    <w:p>
      <w:r>
        <w:t>Onde: menu Proprietário &gt; Licenciamento de Módulos. Só o Proprietário vê e altera. Liga/desliga cada módulo do sistema (ver 2.6).</w:t>
      </w:r>
    </w:p>
    <w:p>
      <w:pPr>
        <w:pStyle w:val="Heading1"/>
      </w:pPr>
      <w:r>
        <w:t>14. Parâmetros e Cadastros</w:t>
      </w:r>
    </w:p>
    <w:p>
      <w:pPr>
        <w:pStyle w:val="Heading2"/>
      </w:pPr>
      <w:r>
        <w:t>14.1 Padrão "Cadastrar / Cadastrados"</w:t>
      </w:r>
    </w:p>
    <w:p>
      <w:r>
        <w:t>As telas de cadastro básico seguem o mesmo padrão de duas abas: uma "Cadastrar" (formulário) e uma "Cadastrados" (lista, com Editar e Ativar/Inativar). A aba "Cadastrar" só aparece se o papel tiver Incluir ou Alterar naquela tela.</w:t>
      </w:r>
    </w:p>
    <w:p>
      <w:pPr>
        <w:pStyle w:val="Heading2"/>
      </w:pPr>
      <w:r>
        <w:t>14.2 Áreas Solicitantes</w:t>
      </w:r>
    </w:p>
    <w:p>
      <w:r>
        <w:t>Código/mnemônico e nome da área. O mnemônico entra no código do projeto e o nome é usado no agrupamento por Área.</w:t>
      </w:r>
    </w:p>
    <w:p>
      <w:pPr>
        <w:pStyle w:val="Heading2"/>
      </w:pPr>
      <w:r>
        <w:t>14.3 Pessoas Solicitantes</w:t>
      </w:r>
    </w:p>
    <w:p>
      <w:r>
        <w:t>Nome e área de cada pessoa que pode ser indicada como solicitante/responsável de uma demanda.</w:t>
      </w:r>
    </w:p>
    <w:p>
      <w:pPr>
        <w:pStyle w:val="Heading2"/>
      </w:pPr>
      <w:r>
        <w:t>14.4 Cadastro de Porte</w:t>
      </w:r>
    </w:p>
    <w:p>
      <w:r>
        <w:t>Códigos de porte (P, M, G, …) e a faixa de horas de cada um — é o que o sistema usa para calcular o porte automaticamente.</w:t>
      </w:r>
    </w:p>
    <w:p>
      <w:pPr>
        <w:pStyle w:val="Heading2"/>
      </w:pPr>
      <w:r>
        <w:t>14.5 Tipos de Projeto</w:t>
      </w:r>
    </w:p>
    <w:p>
      <w:r>
        <w:t>Código curto + descrição. Escolha obrigatória na Formalização da Demanda. O código nunca muda depois de criado; a descrição pode ser editada enquanto o tipo ainda não estiver em uso por nenhum projeto — depois disso, só ativar ou inativar (mesmo critério de Cadastro de Porte).</w:t>
      </w:r>
    </w:p>
    <w:p>
      <w:pPr>
        <w:pStyle w:val="Heading2"/>
      </w:pPr>
      <w:r>
        <w:t>14.6 Cadastro de Produtos</w:t>
      </w:r>
    </w:p>
    <w:p>
      <w:r>
        <w:t>Código, nome e situação ativo/inativo de cada Produto. Mesmo padrão de "Cadastrar / Cadastrados". O código nunca muda depois de criado; o nome pode ser editado enquanto o produto ainda não estiver em uso por nenhum projeto — depois disso, só ativar ou inativar. Existe um Produto reservado "Não Classificado" (código NAO_CLASSIFICADO), que não pode ser editado, inativado nem escolhido em demandas novas — ele carrega os projetos antigos migrados até serem reclassificados.</w:t>
      </w:r>
    </w:p>
    <w:p>
      <w:pPr>
        <w:pStyle w:val="Heading2"/>
      </w:pPr>
      <w:r>
        <w:t>14.7 Retorno / Benefícios de Projeto</w:t>
      </w:r>
    </w:p>
    <w:p>
      <w:r>
        <w:t>Tabela dos tipos de retorno/benefício disponíveis para o quadro "Benefit Results" da demanda. O parâmetro "Permite Valor" controla se, ao escolher esse tipo na demanda, é possível informar um valor de NPV ou ROI.</w:t>
      </w:r>
    </w:p>
    <w:p>
      <w:pPr>
        <w:pStyle w:val="Heading2"/>
      </w:pPr>
      <w:r>
        <w:t>14.8 Planejamento Estratégico</w:t>
      </w:r>
    </w:p>
    <w:p>
      <w:r>
        <w:t>4 sub-abas: Cadastrar Pilar, Pilares Cadastrados, Cadastrar Iniciativa e Iniciativas Cadastradas. Toda Iniciativa pertence a um Pilar, e herda o Ano Fiscal dele. O Ano Fiscal do Pilar é escolhido a partir dos Anos Fiscais já configurados (ver 4.1).</w:t>
      </w:r>
    </w:p>
    <w:p>
      <w:pPr>
        <w:pStyle w:val="Heading2"/>
      </w:pPr>
      <w:r>
        <w:t>14.9 Cargos</w:t>
      </w:r>
    </w:p>
    <w:p>
      <w:r>
        <w:t>Cadastro dos cargos usados no perfil de cada usuário (obrigatório na criação do usuário). Ficava em Administração e passou para Parâmetros e Cadastros. O nome pode ser editado enquanto o cargo ainda não estiver atribuído a nenhum usuário — depois disso, só ativar ou inativar. O cargo "ANALISTA DE TECNOLOGIA" é reservado (é o que o sistema atribui automaticamente a todo usuário novo) e não pode ser renomeado.</w:t>
      </w:r>
    </w:p>
    <w:p>
      <w:pPr>
        <w:pStyle w:val="Heading1"/>
      </w:pPr>
      <w:r>
        <w:t>15. Administração do Sistema</w:t>
      </w:r>
    </w:p>
    <w:p>
      <w:pPr>
        <w:pStyle w:val="Heading2"/>
      </w:pPr>
      <w:r>
        <w:t>15.1 Fases e Etapas do Workflow</w:t>
      </w:r>
    </w:p>
    <w:p>
      <w:r>
        <w:t>Cadastro, edição, reordenação e inativação das etapas do workflow; gerente responsável por fase; flag de decisão de aprovação; e configuração do SLA por etapa e porte.</w:t>
      </w:r>
    </w:p>
    <w:p>
      <w:pPr>
        <w:pStyle w:val="Heading2"/>
      </w:pPr>
      <w:r>
        <w:t>15.2 SLA &amp; Prazos</w:t>
      </w:r>
    </w:p>
    <w:p>
      <w:r>
        <w:t>Tela de consulta com a matriz completa etapa × porte. A edição é feita em Fases e Etapas do Workflow.</w:t>
      </w:r>
    </w:p>
    <w:p>
      <w:pPr>
        <w:pStyle w:val="Heading2"/>
      </w:pPr>
      <w:r>
        <w:t>15.3 Envio de E-mail — Gestão de Templates</w:t>
      </w:r>
    </w:p>
    <w:p>
      <w:r>
        <w:t>Cadastro dos modelos reutilizáveis de e-mail (assunto + texto).</w:t>
      </w:r>
    </w:p>
    <w:p>
      <w:pPr>
        <w:pStyle w:val="Heading2"/>
      </w:pPr>
      <w:r>
        <w:t>15.4 Envio de E-mail — Gestão do Fluxo</w:t>
      </w:r>
    </w:p>
    <w:p>
      <w:r>
        <w:t>Lista fixa de todos os pontos de disparo do sistema — cada linha exige destinatário, remetente e template ativo antes de poder ser ligada. A coluna Fase mostra o nome já padronizado das telas (Requerimentos, Especificação, Execução), mesmo o motor de workflow guardando internamente os nomes antigos — é só um apelido de exibição.</w:t>
      </w:r>
    </w:p>
    <w:p>
      <w:pPr>
        <w:pStyle w:val="Heading2"/>
      </w:pPr>
      <w:r>
        <w:t>15.5 Envio de E-mail — Gestão de Fila de Envio</w:t>
      </w:r>
    </w:p>
    <w:p>
      <w:r>
        <w:t>Mostra os e-mails enfileirados e seu status. O botão "Processar Fila" dispara o envio real.</w:t>
      </w:r>
    </w:p>
    <w:p>
      <w:pPr>
        <w:pStyle w:val="Heading2"/>
      </w:pPr>
      <w:r>
        <w:t>15.6 Percentual de Bloqueio de Orçamento</w:t>
      </w:r>
    </w:p>
    <w:p>
      <w:r>
        <w:t>Define o percentual de variação de orçamento a partir do qual um projeto fica bloqueado até uma diferença de orçamento aprovada em Aprovar Diferenças de Orçamento (ver 10.3). Mostra o percentual vigente e o histórico de alterações (quem mudou, quando, valor anterior) — mesmo padrão de Controle Orçamentário (15.9).</w:t>
      </w:r>
    </w:p>
    <w:p>
      <w:pPr>
        <w:pStyle w:val="Heading2"/>
      </w:pPr>
      <w:r>
        <w:t>15.7 Responsáveis por Atividade</w:t>
      </w:r>
    </w:p>
    <w:p>
      <w:r>
        <w:t>Mesma tela descrita em 13.4 — fica neste grupo, antes de Gestão de Templates.</w:t>
      </w:r>
    </w:p>
    <w:p>
      <w:pPr>
        <w:pStyle w:val="Heading2"/>
      </w:pPr>
      <w:r>
        <w:t>15.8 Ferramentas de Dev</w:t>
      </w:r>
    </w:p>
    <w:p>
      <w:r>
        <w:t>Grupo próprio no menu, exclusivo do PROPRIETÁRIO (Administrador e Acesso Irrestrito não entram). Ferramentas de reinício/limpeza de dados de teste (resetar para Fase 1, limpar base mantendo só um AF, limpeza total, exclusão seletiva) e criação de projetos já em qualquer fase, com todos os campos de Formalizar Demanda (Objetivo, Pilar/Iniciativa Estratégica, Key Results, Benefit Result, Descrição) — serve tanto para projeto de teste descartável quanto para carga inicial de projetos reais já em andamento: além do estado de superfície do projeto, também cria o histórico de etapas concluídas (projeto_etapas) de toda fase anterior à fase de destino escolhida, para o Roadmap, o Detalhamento do Projeto e o Cronograma mostrarem o histórico corretamente. Inclui também "Zerar Contratos e Fornecedores", que apaga contratos, vínculos, pendências, propostas, pagamentos por NF e anexos, mantendo os projetos e o cadastro de Fornecedores (equivale ao SQL sql/2026-09-09_reset_contratos_para_testes.sql).</w:t>
      </w:r>
    </w:p>
    <w:p>
      <w:pPr>
        <w:pStyle w:val="Heading2"/>
      </w:pPr>
      <w:r>
        <w:t>15.9 Controle Orçamentário</w:t>
      </w:r>
    </w:p>
    <w:p>
      <w:r>
        <w:t>Onde: Administração &gt; Controle Orçamentário. Administrador e Proprietário têm acesso por padrão; e, por ser uma atividade delegável, um Administrador pode conceder essa tela a outro perfil em Funções e Permissões (13.2).</w:t>
      </w:r>
    </w:p>
    <w:p>
      <w:r>
        <w:t>Define o "modo de controle orçamentário" que rege quais projetos ficam elegíveis no trade-off da Aprovação de Demanda Extraordinária (5.6):</w:t>
      </w:r>
    </w:p>
    <w:p>
      <w:pPr>
        <w:pStyle w:val="ListBullet"/>
      </w:pPr>
      <w:r>
        <w:t>Ano Fiscal (padrão) — todos os projetos do Ano Fiscal.</w:t>
      </w:r>
    </w:p>
    <w:p>
      <w:pPr>
        <w:pStyle w:val="ListBullet"/>
      </w:pPr>
      <w:r>
        <w:t>Área — só os projetos da mesma área do projeto Extraordinário.</w:t>
      </w:r>
    </w:p>
    <w:p>
      <w:pPr>
        <w:pStyle w:val="ListBullet"/>
      </w:pPr>
      <w:r>
        <w:t>Produto — só os projetos do mesmo produto do projeto Extraordinário.</w:t>
      </w:r>
    </w:p>
    <w:p>
      <w:r>
        <w:t>A tela só pede o modo — a vigência é automática: sempre o 1º dia do mês corrente. Cada alteração fica registrada com essa vigência e um log (quem, quando, modo anterior); o histórico mostra a faixa de vigência de cada valor (início → fim, sendo o fim o dia anterior à vigência seguinte). Este parâmetro NÃO altera o seletor "Agrupar orçamento por" do Dashboard e do Financeiro (12.2), que continua sendo escolha de tela. Trocar o modo também não reprocessa trade-offs já aprovados.</w:t>
      </w:r>
    </w:p>
    <w:p>
      <w:pPr>
        <w:pStyle w:val="Heading2"/>
      </w:pPr>
      <w:r>
        <w:t>15.10 Período do Ano Fiscal</w:t>
      </w:r>
    </w:p>
    <w:p>
      <w:r>
        <w:t>Onde: Administração &gt; Período do Ano Fiscal. Restrito a Administrador ou Proprietário (não é delegável).</w:t>
      </w:r>
    </w:p>
    <w:p>
      <w:r>
        <w:t>Define o mês em que o Ano Fiscal começa (12 meses corridos). Antes era fixo em abril; agora é configurável. A tela só pede o mês de início — a vigência é automática e sempre começa no 1º dia do mês corrente; o período anterior encerra no último dia do mês anterior a essa data (o usuário não digita datas). Datas anteriores à vigência continuam apuradas no período antigo; a partir dela vale o novo mês de início. Os quarters (Q1–Q4), os rótulos "AFxxxx" e a grade de meses do Roadmap (12.6) passam a refletir o período configurado. Enquanto nenhum período for cadastrado, o sistema usa abril–março, exatamente como antes. Cada alteração fica registrada com vigência e log, e o histórico mostra a faixa de cada período (início → fim).</w:t>
      </w:r>
    </w:p>
    <w:p>
      <w:pPr>
        <w:pStyle w:val="Heading1"/>
      </w:pPr>
      <w:r>
        <w:t>16. Glossário</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AF</w:t>
            </w:r>
          </w:p>
        </w:tc>
        <w:tc>
          <w:tcPr>
            <w:tcW w:type="dxa" w:w="4153"/>
          </w:tcPr>
          <w:p>
            <w:r>
              <w:t>Ano Fiscal — ciclo orçamentário anual (abril a março).</w:t>
            </w:r>
          </w:p>
        </w:tc>
      </w:tr>
      <w:tr>
        <w:tc>
          <w:tcPr>
            <w:tcW w:type="dxa" w:w="4153"/>
          </w:tcPr>
          <w:p>
            <w:r>
              <w:t>BC</w:t>
            </w:r>
          </w:p>
        </w:tc>
        <w:tc>
          <w:tcPr>
            <w:tcW w:type="dxa" w:w="4153"/>
          </w:tcPr>
          <w:p>
            <w:r>
              <w:t>Business Case — fase inicial do workflow.</w:t>
            </w:r>
          </w:p>
        </w:tc>
      </w:tr>
      <w:tr>
        <w:tc>
          <w:tcPr>
            <w:tcW w:type="dxa" w:w="4153"/>
          </w:tcPr>
          <w:p>
            <w:r>
              <w:t>Requerimentos</w:t>
            </w:r>
          </w:p>
        </w:tc>
        <w:tc>
          <w:tcPr>
            <w:tcW w:type="dxa" w:w="4153"/>
          </w:tcPr>
          <w:p>
            <w:r>
              <w:t>Fase de levantamento e avaliação dos requisitos (era "Requeriments").</w:t>
            </w:r>
          </w:p>
        </w:tc>
      </w:tr>
      <w:tr>
        <w:tc>
          <w:tcPr>
            <w:tcW w:type="dxa" w:w="4153"/>
          </w:tcPr>
          <w:p>
            <w:r>
              <w:t>Especificação</w:t>
            </w:r>
          </w:p>
        </w:tc>
        <w:tc>
          <w:tcPr>
            <w:tcW w:type="dxa" w:w="4153"/>
          </w:tcPr>
          <w:p>
            <w:r>
              <w:t>Fase de especificação técnica (era "Technical").</w:t>
            </w:r>
          </w:p>
        </w:tc>
      </w:tr>
      <w:tr>
        <w:tc>
          <w:tcPr>
            <w:tcW w:type="dxa" w:w="4153"/>
          </w:tcPr>
          <w:p>
            <w:r>
              <w:t>Execução</w:t>
            </w:r>
          </w:p>
        </w:tc>
        <w:tc>
          <w:tcPr>
            <w:tcW w:type="dxa" w:w="4153"/>
          </w:tcPr>
          <w:p>
            <w:r>
              <w:t>Fase de desenvolvimento/entrega (era "Execução - Desenvolvimento").</w:t>
            </w:r>
          </w:p>
        </w:tc>
      </w:tr>
      <w:tr>
        <w:tc>
          <w:tcPr>
            <w:tcW w:type="dxa" w:w="4153"/>
          </w:tcPr>
          <w:p>
            <w:r>
              <w:t>UAT</w:t>
            </w:r>
          </w:p>
        </w:tc>
        <w:tc>
          <w:tcPr>
            <w:tcW w:type="dxa" w:w="4153"/>
          </w:tcPr>
          <w:p>
            <w:r>
              <w:t>User Acceptance Testing — fase de homologação com o usuário final.</w:t>
            </w:r>
          </w:p>
        </w:tc>
      </w:tr>
      <w:tr>
        <w:tc>
          <w:tcPr>
            <w:tcW w:type="dxa" w:w="4153"/>
          </w:tcPr>
          <w:p>
            <w:r>
              <w:t>Go-Live</w:t>
            </w:r>
          </w:p>
        </w:tc>
        <w:tc>
          <w:tcPr>
            <w:tcW w:type="dxa" w:w="4153"/>
          </w:tcPr>
          <w:p>
            <w:r>
              <w:t>Entrada em produção do projeto.</w:t>
            </w:r>
          </w:p>
        </w:tc>
      </w:tr>
      <w:tr>
        <w:tc>
          <w:tcPr>
            <w:tcW w:type="dxa" w:w="4153"/>
          </w:tcPr>
          <w:p>
            <w:r>
              <w:t>SLA</w:t>
            </w:r>
          </w:p>
        </w:tc>
        <w:tc>
          <w:tcPr>
            <w:tcW w:type="dxa" w:w="4153"/>
          </w:tcPr>
          <w:p>
            <w:r>
              <w:t>Prazo, em dias úteis, esperado para concluir uma etapa.</w:t>
            </w:r>
          </w:p>
        </w:tc>
      </w:tr>
      <w:tr>
        <w:tc>
          <w:tcPr>
            <w:tcW w:type="dxa" w:w="4153"/>
          </w:tcPr>
          <w:p>
            <w:r>
              <w:t>Porte</w:t>
            </w:r>
          </w:p>
        </w:tc>
        <w:tc>
          <w:tcPr>
            <w:tcW w:type="dxa" w:w="4153"/>
          </w:tcPr>
          <w:p>
            <w:r>
              <w:t>Classificação do projeto, calculada automaticamente a partir da quantidade de horas.</w:t>
            </w:r>
          </w:p>
        </w:tc>
      </w:tr>
      <w:tr>
        <w:tc>
          <w:tcPr>
            <w:tcW w:type="dxa" w:w="4153"/>
          </w:tcPr>
          <w:p>
            <w:r>
              <w:t>GROW / REG / RUN</w:t>
            </w:r>
          </w:p>
        </w:tc>
        <w:tc>
          <w:tcPr>
            <w:tcW w:type="dxa" w:w="4153"/>
          </w:tcPr>
          <w:p>
            <w:r>
              <w:t>Qualificação: crescimento, regulatório, manutenção/operação.</w:t>
            </w:r>
          </w:p>
        </w:tc>
      </w:tr>
      <w:tr>
        <w:tc>
          <w:tcPr>
            <w:tcW w:type="dxa" w:w="4153"/>
          </w:tcPr>
          <w:p>
            <w:r>
              <w:t>Produto</w:t>
            </w:r>
          </w:p>
        </w:tc>
        <w:tc>
          <w:tcPr>
            <w:tcW w:type="dxa" w:w="4153"/>
          </w:tcPr>
          <w:p>
            <w:r>
              <w:t>Categoria de negócio obrigatória de toda demanda (Cadastro de Produtos).</w:t>
            </w:r>
          </w:p>
        </w:tc>
      </w:tr>
      <w:tr>
        <w:tc>
          <w:tcPr>
            <w:tcW w:type="dxa" w:w="4153"/>
          </w:tcPr>
          <w:p>
            <w:r>
              <w:t>Não Classificado</w:t>
            </w:r>
          </w:p>
        </w:tc>
        <w:tc>
          <w:tcPr>
            <w:tcW w:type="dxa" w:w="4153"/>
          </w:tcPr>
          <w:p>
            <w:r>
              <w:t>Produto reservado dos projetos antigos migrados; não escolhível em demandas novas.</w:t>
            </w:r>
          </w:p>
        </w:tc>
      </w:tr>
      <w:tr>
        <w:tc>
          <w:tcPr>
            <w:tcW w:type="dxa" w:w="4153"/>
          </w:tcPr>
          <w:p>
            <w:r>
              <w:t>Agrupamento de Orçamento</w:t>
            </w:r>
          </w:p>
        </w:tc>
        <w:tc>
          <w:tcPr>
            <w:tcW w:type="dxa" w:w="4153"/>
          </w:tcPr>
          <w:p>
            <w:r>
              <w:t>Modo de organizar a visão de orçamento: por Ano Fiscal, Área ou Produto.</w:t>
            </w:r>
          </w:p>
        </w:tc>
      </w:tr>
      <w:tr>
        <w:tc>
          <w:tcPr>
            <w:tcW w:type="dxa" w:w="4153"/>
          </w:tcPr>
          <w:p>
            <w:r>
              <w:t>Subgrupo</w:t>
            </w:r>
          </w:p>
        </w:tc>
        <w:tc>
          <w:tcPr>
            <w:tcW w:type="dxa" w:w="4153"/>
          </w:tcPr>
          <w:p>
            <w:r>
              <w:t>A Área ou o Produto específico usado como recorte quando o agrupamento não é "Ano Fiscal".</w:t>
            </w:r>
          </w:p>
        </w:tc>
      </w:tr>
      <w:tr>
        <w:tc>
          <w:tcPr>
            <w:tcW w:type="dxa" w:w="4153"/>
          </w:tcPr>
          <w:p>
            <w:r>
              <w:t>Ajuste de Orçamento</w:t>
            </w:r>
          </w:p>
        </w:tc>
        <w:tc>
          <w:tcPr>
            <w:tcW w:type="dxa" w:w="4153"/>
          </w:tcPr>
          <w:p>
            <w:r>
              <w:t>Autorização formal registrada para mover orçamento entre subgrupos diferentes.</w:t>
            </w:r>
          </w:p>
        </w:tc>
      </w:tr>
      <w:tr>
        <w:tc>
          <w:tcPr>
            <w:tcW w:type="dxa" w:w="4153"/>
          </w:tcPr>
          <w:p>
            <w:r>
              <w:t>Modo de Controle Orçamentário</w:t>
            </w:r>
          </w:p>
        </w:tc>
        <w:tc>
          <w:tcPr>
            <w:tcW w:type="dxa" w:w="4153"/>
          </w:tcPr>
          <w:p>
            <w:r>
              <w:t>Parâmetro (Ano Fiscal / Área / Produto) que define quais projetos ficam elegíveis no trade-off da Demanda Extraordinária. Ver 15.9.</w:t>
            </w:r>
          </w:p>
        </w:tc>
      </w:tr>
      <w:tr>
        <w:tc>
          <w:tcPr>
            <w:tcW w:type="dxa" w:w="4153"/>
          </w:tcPr>
          <w:p>
            <w:r>
              <w:t>Validação de Trade-off</w:t>
            </w:r>
          </w:p>
        </w:tc>
        <w:tc>
          <w:tcPr>
            <w:tcW w:type="dxa" w:w="4153"/>
          </w:tcPr>
          <w:p>
            <w:r>
              <w:t>Fila de aprovação (menu Ano Fiscal) das simulações de trade-off que cruzam Área/Produto quando o modo de controle não é "Ano Fiscal". Ver 4.4.</w:t>
            </w:r>
          </w:p>
        </w:tc>
      </w:tr>
      <w:tr>
        <w:tc>
          <w:tcPr>
            <w:tcW w:type="dxa" w:w="4153"/>
          </w:tcPr>
          <w:p>
            <w:r>
              <w:t>Período do Ano Fiscal</w:t>
            </w:r>
          </w:p>
        </w:tc>
        <w:tc>
          <w:tcPr>
            <w:tcW w:type="dxa" w:w="4153"/>
          </w:tcPr>
          <w:p>
            <w:r>
              <w:t>Mês em que o Ano Fiscal começa, configurável com vigência (era abril fixo). Ver 15.10.</w:t>
            </w:r>
          </w:p>
        </w:tc>
      </w:tr>
      <w:tr>
        <w:tc>
          <w:tcPr>
            <w:tcW w:type="dxa" w:w="4153"/>
          </w:tcPr>
          <w:p>
            <w:r>
              <w:t>Extraordinário</w:t>
            </w:r>
          </w:p>
        </w:tc>
        <w:tc>
          <w:tcPr>
            <w:tcW w:type="dxa" w:w="4153"/>
          </w:tcPr>
          <w:p>
            <w:r>
              <w:t>Demanda urgente aprovada fora do ciclo normal, via trade-off.</w:t>
            </w:r>
          </w:p>
        </w:tc>
      </w:tr>
      <w:tr>
        <w:tc>
          <w:tcPr>
            <w:tcW w:type="dxa" w:w="4153"/>
          </w:tcPr>
          <w:p>
            <w:r>
              <w:t>Carryover</w:t>
            </w:r>
          </w:p>
        </w:tc>
        <w:tc>
          <w:tcPr>
            <w:tcW w:type="dxa" w:w="4153"/>
          </w:tcPr>
          <w:p>
            <w:r>
              <w:t>Marcação de que o saldo não utilizado de um projeto será levado para o próximo AF. Definido na tela Fechamento Ano Fiscal, como Carryover Desenvolvimento (segue em andamento) ou Carryover Hold (entra no próximo AF em Hold).</w:t>
            </w:r>
          </w:p>
        </w:tc>
      </w:tr>
      <w:tr>
        <w:tc>
          <w:tcPr>
            <w:tcW w:type="dxa" w:w="4153"/>
          </w:tcPr>
          <w:p>
            <w:r>
              <w:t>Fechamento de Ano Fiscal</w:t>
            </w:r>
          </w:p>
        </w:tc>
        <w:tc>
          <w:tcPr>
            <w:tcW w:type="dxa" w:w="4153"/>
          </w:tcPr>
          <w:p>
            <w:r>
              <w:t>Encerramento formal de um AF (quem/quando/comentário + log), exigido para abrir o próximo AF; diferente do fechamento do orçamento.</w:t>
            </w:r>
          </w:p>
        </w:tc>
      </w:tr>
      <w:tr>
        <w:tc>
          <w:tcPr>
            <w:tcW w:type="dxa" w:w="4153"/>
          </w:tcPr>
          <w:p>
            <w:r>
              <w:t>Pendente de Termo de Aceite</w:t>
            </w:r>
          </w:p>
        </w:tc>
        <w:tc>
          <w:tcPr>
            <w:tcW w:type="dxa" w:w="4153"/>
          </w:tcPr>
          <w:p>
            <w:r>
              <w:t>Status de um projeto que atingiu 100% no Go-Live e aguarda o Termo de Aceite para poder ser concluído.</w:t>
            </w:r>
          </w:p>
        </w:tc>
      </w:tr>
      <w:tr>
        <w:tc>
          <w:tcPr>
            <w:tcW w:type="dxa" w:w="4153"/>
          </w:tcPr>
          <w:p>
            <w:r>
              <w:t>Subprojeto</w:t>
            </w:r>
          </w:p>
        </w:tc>
        <w:tc>
          <w:tcPr>
            <w:tcW w:type="dxa" w:w="4153"/>
          </w:tcPr>
          <w:p>
            <w:r>
              <w:t>Projeto "filho" de outro, criado na fase de Execução.</w:t>
            </w:r>
          </w:p>
        </w:tc>
      </w:tr>
      <w:tr>
        <w:tc>
          <w:tcPr>
            <w:tcW w:type="dxa" w:w="4153"/>
          </w:tcPr>
          <w:p>
            <w:r>
              <w:t>CAPEX / OPEX</w:t>
            </w:r>
          </w:p>
        </w:tc>
        <w:tc>
          <w:tcPr>
            <w:tcW w:type="dxa" w:w="4153"/>
          </w:tcPr>
          <w:p>
            <w:r>
              <w:t>Classificação financeira do investimento.</w:t>
            </w:r>
          </w:p>
        </w:tc>
      </w:tr>
      <w:tr>
        <w:tc>
          <w:tcPr>
            <w:tcW w:type="dxa" w:w="4153"/>
          </w:tcPr>
          <w:p>
            <w:r>
              <w:t>NPV / ROI</w:t>
            </w:r>
          </w:p>
        </w:tc>
        <w:tc>
          <w:tcPr>
            <w:tcW w:type="dxa" w:w="4153"/>
          </w:tcPr>
          <w:p>
            <w:r>
              <w:t>Métricas usadas para quantificar um benefício declarado.</w:t>
            </w:r>
          </w:p>
        </w:tc>
      </w:tr>
      <w:tr>
        <w:tc>
          <w:tcPr>
            <w:tcW w:type="dxa" w:w="4153"/>
          </w:tcPr>
          <w:p>
            <w:r>
              <w:t>RBAC</w:t>
            </w:r>
          </w:p>
        </w:tc>
        <w:tc>
          <w:tcPr>
            <w:tcW w:type="dxa" w:w="4153"/>
          </w:tcPr>
          <w:p>
            <w:r>
              <w:t>Controle de acesso baseado em papéis.</w:t>
            </w:r>
          </w:p>
        </w:tc>
      </w:tr>
      <w:tr>
        <w:tc>
          <w:tcPr>
            <w:tcW w:type="dxa" w:w="4153"/>
          </w:tcPr>
          <w:p>
            <w:r>
              <w:t>RLS</w:t>
            </w:r>
          </w:p>
        </w:tc>
        <w:tc>
          <w:tcPr>
            <w:tcW w:type="dxa" w:w="4153"/>
          </w:tcPr>
          <w:p>
            <w:r>
              <w:t>Row Level Security — proteção de acesso aplicada no próprio banco de dados.</w:t>
            </w:r>
          </w:p>
        </w:tc>
      </w:tr>
      <w:tr>
        <w:tc>
          <w:tcPr>
            <w:tcW w:type="dxa" w:w="4153"/>
          </w:tcPr>
          <w:p>
            <w:r>
              <w:t>Atividade</w:t>
            </w:r>
          </w:p>
        </w:tc>
        <w:tc>
          <w:tcPr>
            <w:tcW w:type="dxa" w:w="4153"/>
          </w:tcPr>
          <w:p>
            <w:r>
              <w:t>Unidade mínima de controle de acesso: uma tela ou sub-aba.</w:t>
            </w:r>
          </w:p>
        </w:tc>
      </w:tr>
      <w:tr>
        <w:tc>
          <w:tcPr>
            <w:tcW w:type="dxa" w:w="4153"/>
          </w:tcPr>
          <w:p>
            <w:r>
              <w:t>Consultar / Incluir / Alterar / Deletar</w:t>
            </w:r>
          </w:p>
        </w:tc>
        <w:tc>
          <w:tcPr>
            <w:tcW w:type="dxa" w:w="4153"/>
          </w:tcPr>
          <w:p>
            <w:r>
              <w:t>As quatro permissões independentes de cada atividade.</w:t>
            </w:r>
          </w:p>
        </w:tc>
      </w:tr>
      <w:tr>
        <w:tc>
          <w:tcPr>
            <w:tcW w:type="dxa" w:w="4153"/>
          </w:tcPr>
          <w:p>
            <w:r>
              <w:t>Acesso Irrestrito</w:t>
            </w:r>
          </w:p>
        </w:tc>
        <w:tc>
          <w:tcPr>
            <w:tcW w:type="dxa" w:w="4153"/>
          </w:tcPr>
          <w:p>
            <w:r>
              <w:t>Marcação de um papel que ignora o catálogo e a restrição de área (equivale a Administrador).</w:t>
            </w:r>
          </w:p>
        </w:tc>
      </w:tr>
      <w:tr>
        <w:tc>
          <w:tcPr>
            <w:tcW w:type="dxa" w:w="4153"/>
          </w:tcPr>
          <w:p>
            <w:r>
              <w:t>Proprietário</w:t>
            </w:r>
          </w:p>
        </w:tc>
        <w:tc>
          <w:tcPr>
            <w:tcW w:type="dxa" w:w="4153"/>
          </w:tcPr>
          <w:p>
            <w:r>
              <w:t>Papel um nível acima do Administrador; único com acesso ao Licenciamento de Módulos e a Dados da Empresa Licenciada.</w:t>
            </w:r>
          </w:p>
        </w:tc>
      </w:tr>
      <w:tr>
        <w:tc>
          <w:tcPr>
            <w:tcW w:type="dxa" w:w="4153"/>
          </w:tcPr>
          <w:p>
            <w:r>
              <w:t>Licenciamento de Módulos</w:t>
            </w:r>
          </w:p>
        </w:tc>
        <w:tc>
          <w:tcPr>
            <w:tcW w:type="dxa" w:w="4153"/>
          </w:tcPr>
          <w:p>
            <w:r>
              <w:t>Interruptor por módulo (Workflow, E-mail, Financeiro, Planejamento Estratégico); módulo desligado esconde as telas para todos.</w:t>
            </w:r>
          </w:p>
        </w:tc>
      </w:tr>
      <w:tr>
        <w:tc>
          <w:tcPr>
            <w:tcW w:type="dxa" w:w="4153"/>
          </w:tcPr>
          <w:p>
            <w:r>
              <w:t>Empresa Licenciada</w:t>
            </w:r>
          </w:p>
        </w:tc>
        <w:tc>
          <w:tcPr>
            <w:tcW w:type="dxa" w:w="4153"/>
          </w:tcPr>
          <w:p>
            <w:r>
              <w:t>A empresa que contratou o Compasso — dados, identidade visual e a vigência da licença. Ver 2.7.</w:t>
            </w:r>
          </w:p>
        </w:tc>
      </w:tr>
      <w:tr>
        <w:tc>
          <w:tcPr>
            <w:tcW w:type="dxa" w:w="4153"/>
          </w:tcPr>
          <w:p>
            <w:r>
              <w:t>Vigência da Licença</w:t>
            </w:r>
          </w:p>
        </w:tc>
        <w:tc>
          <w:tcPr>
            <w:tcW w:type="dxa" w:w="4153"/>
          </w:tcPr>
          <w:p>
            <w:r>
              <w:t>Período [início, término] em que o Compasso pode ser usado. Fora dele, só a tela de renovação abre.</w:t>
            </w:r>
          </w:p>
        </w:tc>
      </w:tr>
      <w:tr>
        <w:tc>
          <w:tcPr>
            <w:tcW w:type="dxa" w:w="4153"/>
          </w:tcPr>
          <w:p>
            <w:r>
              <w:t>Código de Renovação</w:t>
            </w:r>
          </w:p>
        </w:tc>
        <w:tc>
          <w:tcPr>
            <w:tcW w:type="dxa" w:w="4153"/>
          </w:tcPr>
          <w:p>
            <w:r>
              <w:t>Token assinado pela Cognitionis que, colado pelo Proprietário e validado no servidor, estende a vigência da licença.</w:t>
            </w:r>
          </w:p>
        </w:tc>
      </w:tr>
      <w:tr>
        <w:tc>
          <w:tcPr>
            <w:tcW w:type="dxa" w:w="4153"/>
          </w:tcPr>
          <w:p>
            <w:r>
              <w:t>Vínculo de Contrato</w:t>
            </w:r>
          </w:p>
        </w:tc>
        <w:tc>
          <w:tcPr>
            <w:tcW w:type="dxa" w:w="4153"/>
          </w:tcPr>
          <w:p>
            <w:r>
              <w:t>A ligação entre um contrato terceirizado e um projeto, com valor alocado próprio.</w:t>
            </w:r>
          </w:p>
        </w:tc>
      </w:tr>
      <w:tr>
        <w:tc>
          <w:tcPr>
            <w:tcW w:type="dxa" w:w="4153"/>
          </w:tcPr>
          <w:p>
            <w:r>
              <w:t>Ocorrência de Erro</w:t>
            </w:r>
          </w:p>
        </w:tc>
        <w:tc>
          <w:tcPr>
            <w:tcW w:type="dxa" w:w="4153"/>
          </w:tcPr>
          <w:p>
            <w:r>
              <w:t>Registro de um problema no Go-Live, com ciclo Aberta → Em Solução → Resolvida.</w:t>
            </w:r>
          </w:p>
        </w:tc>
      </w:tr>
      <w:tr>
        <w:tc>
          <w:tcPr>
            <w:tcW w:type="dxa" w:w="4153"/>
          </w:tcPr>
          <w:p>
            <w:r>
              <w:t>Termo de Aceite</w:t>
            </w:r>
          </w:p>
        </w:tc>
        <w:tc>
          <w:tcPr>
            <w:tcW w:type="dxa" w:w="4153"/>
          </w:tcPr>
          <w:p>
            <w:r>
              <w:t>Registro formal do aceite de um projeto após o Go-Live.</w:t>
            </w:r>
          </w:p>
        </w:tc>
      </w:tr>
      <w:tr>
        <w:tc>
          <w:tcPr>
            <w:tcW w:type="dxa" w:w="4153"/>
          </w:tcPr>
          <w:p>
            <w:r>
              <w:t>Em Revisão</w:t>
            </w:r>
          </w:p>
        </w:tc>
        <w:tc>
          <w:tcPr>
            <w:tcW w:type="dxa" w:w="4153"/>
          </w:tcPr>
          <w:p>
            <w:r>
              <w:t>Situação de um projeto que voltou para replanejamento depois de uma reprovação.</w:t>
            </w:r>
          </w:p>
        </w:tc>
      </w:tr>
    </w:tbl>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