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4.0 — 2 de setembro de 2026</w:t>
      </w:r>
    </w:p>
    <w:p>
      <w:r>
        <w:t>Primeira versão do manual sob a marca Compasso (evolução do sistema ONEBTB / OTB). Principais novidades desde a versão 3.0 do manual anterior: papel PROPRIETÁRIO e Licenciamento de Módulos; permissões por atividade agora com quatro verbos (Consultar, Incluir, Alterar, Deletar); proteção no banco de dados (RLS) ativada nas tabelas centrais de controle de acesso; Cadastro de Produtos e associação obrigatória de Produto à demanda; Agrupamento de Orçamento por Ano Fiscal, Área ou Produto no Dashboard e no Financeiro, com um novo Quadro de Orçamento; tela de Ajuste de Orçamento no menu Ano Fiscal;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Também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projetos em Carryover e Ajuste de Orçamento.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 e responsáveis por atividade.</w:t>
      </w:r>
    </w:p>
    <w:p>
      <w:pPr>
        <w:pStyle w:val="ListBullet"/>
      </w:pPr>
      <w:r>
        <w:t>Ferramentas de Dev — grupo próprio, restrito a quem tem Acesso Irrestrito.</w:t>
      </w:r>
    </w:p>
    <w:p>
      <w:pPr>
        <w:pStyle w:val="ListBullet"/>
      </w:pPr>
      <w:r>
        <w:t>Proprietário — grupo que só aparece para quem tem o papel PROPRIETÁRIO; contém o Licenciamento de Módulos.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Só "Ferramentas de Dev" continua sendo exclusivo de quem tem Acesso Irrestrito, mesmo que a atividade seja marcada para outro papel — é a única tela com ações destrutivas (apagar dados de teste em massa).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(login, perfis, parâmetros básicos) não pertencem a nenhum módulo e ficam sempre disponíveis.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2.8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a marcação de Carryover (não muda a sequência, só sinaliza que o saldo será levado adiante — 4.2) e o Ajuste de Orçamento (autorização para mover orçamento entre áreas ou produtos diferentes — 4.3).</w:t>
      </w:r>
    </w:p>
    <w:p>
      <w:pPr>
        <w:pStyle w:val="Heading1"/>
      </w:pPr>
      <w:r>
        <w:t>4. Ano Fiscal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e permite abrir o recebimento de demandas para o próximo Ano Fiscal. A condição é que o AF corrente já esteja com o orçamento fechado e que o próximo ainda não tenha sido aberto. Também exibe o status de fechamento do orçamento do AF corrente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Projetos Carry Over</w:t>
      </w:r>
    </w:p>
    <w:p>
      <w:r>
        <w:t>Onde: Ano Fiscal &gt; Projetos Carry Over.</w:t>
      </w:r>
    </w:p>
    <w:p>
      <w:r>
        <w:t>Lista todos os projetos ativos com os três valores de orçamento (Business Case / Requerimentos / Especificação). Marcar um projeto como Carryover liga uma flag no projeto — não altera o Ano Fiscal dele. O valor de carryover é sempre calculado automaticamente: o orçamento mais recente definido menos o que já foi realizado.</w:t>
      </w:r>
    </w:p>
    <w:p>
      <w:r>
        <w:t>Candidatos NOVOS a marcar só aparecem a partir do último trimestre (Q4) do Ano Fiscal corrente; fora do Q4, a tela mostra só os projetos já marcados. Todos os projetos marcados formam um pool de orçamento por Ano Fiscal de destino, mostrado nesta tela, no Dashboard e no Financeiro.</w:t>
      </w:r>
    </w:p>
    <w:p>
      <w:r>
        <w:t>Desmarcar só é permitido enquanto o projeto não tiver avançado de fase nem de status desde o momento em que foi marcado.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Enquanto essa autorização não existe, o trade-off da Extraordinária (5.6) bloqueia qualquer ação sobre um projeto de outro subgrupo, apontando esta tela como o caminho.</w:t>
      </w:r>
    </w:p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</w:t>
      </w:r>
    </w:p>
    <w:p>
      <w:r>
        <w:t>Projetos já concluídos não aparecem como candidatos. Quando o Dashboard/Financeiro está agrupando por Área ou por Produto, o trade-off só deixa mexer no saldo de projetos do mesmo subgrupo da demanda Extraordinária — para cruzar subgrupos é preciso ter registrado antes a autorização em Ajuste de Orçamento (4.3).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 Não pode ser preenchido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projeto, feita depois que Go-Live foi concluído a 100%.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 (Corrente / Próximo AF-Pipeline / Todos) — cada tela guarda sua própria seleção.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ativa]", 7 linhas e 3 colunas (Total, CAPEX, OPEX):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</w:t>
            </w:r>
          </w:p>
        </w:tc>
        <w:tc>
          <w:tcPr>
            <w:tcW w:type="dxa" w:w="4153"/>
          </w:tcPr>
          <w:p>
            <w:r>
              <w:t>Contagem de projetos ativos no recorte atual (não é um valor em R$).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</w:t>
            </w:r>
          </w:p>
        </w:tc>
        <w:tc>
          <w:tcPr>
            <w:tcW w:type="dxa" w:w="4153"/>
          </w:tcPr>
          <w:p>
            <w:r>
              <w:t>Soma dos saldos de carryover congelados na marcação.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Orçamento Fechado + Extraordinário + Carry Over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Além do cabeçalho completo, valores por fase, linha do tempo de etapas e histórico de Hold/trade-off, mostra: a Observação de Conclusão do Projeto; as Ocorrências de Go-Live e o Termo de Aceite (quando o projeto passou por Go-Live);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restrito a quem tem Acesso Irrestrito.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