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5.0 — 2 de setembro de 2026</w:t>
      </w:r>
    </w:p>
    <w:p>
      <w:r>
        <w:t>Versão do manual sob a marca Compasso (evolução do sistema ONEBTB / OTB).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 e Ajuste de Orçamento.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 e responsáveis por atividade.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o Licenciamento de Módulos.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(login, perfis, parâmetros básicos) não pertencem a nenhum módulo e ficam sempre disponíveis.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2.8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Enquanto essa autorização não existe, o trade-off da Extraordinária (5.6) bloqueia qualquer ação sobre um projeto de outro subgrupo, apontando esta tela como o caminho.</w:t>
      </w:r>
    </w:p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 Ao aprovar, a demanda Extraordinária vai direto para Requerimentos.</w:t>
      </w:r>
    </w:p>
    <w:p>
      <w:r>
        <w:t>A demanda Extraordinária chega a esta tela assim que a etapa "Orçamentar Demanda" é concluída (100%) — ela NÃO passa pelo Comitê nem pelo fechamento do orçamento do AF. A tela trabalha sobre o Ano Fiscal em andamento (o que já tem o orçamento fechado), que é o AF ao qual as Demandas Extraordinárias pertencem.</w:t>
      </w:r>
    </w:p>
    <w:p>
      <w:r>
        <w:t>Projetos já concluídos não aparecem como candidatos. Quando o Dashboard/Financeiro está agrupando por Área ou por Produto, o trade-off só deixa mexer no saldo de projetos do mesmo subgrupo da demanda Extraordinária — para cruzar subgrupos é preciso ter registrado antes a autorização em Ajuste de Orçamento (4.3).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