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8.0 — 3 de setembro de 2026</w:t>
      </w:r>
    </w:p>
    <w:p>
      <w:r>
        <w:t>Novidades da versão 8.0: nova seção inicial "Roteiro de Instalação e Primeira Configuração" — a ordem recomendada de cadastros numa instalação nova, do cadastro da empresa licenciada e dos módulos (feito pela Cognitionis) até a base pronta para a primeira demanda (feito pelo Administrador do cliente). Novidades da versão 7.0: (Proprietário) "Dados da Empresa Licenciada" (2.7) — cadastro da empresa que licenciou o Compasso, com nome/logo/cor exibidos no login, na tela inicial e no cabeçalho, e a vigência da licença: configuração inicial bloqueante, aviso preventivo de vencimento, tela "Licença Expirada" e renovação por código assinado. O grupo de menus de cada módulo passou a vir de uma tabela de configuração (não mais fixo no código); o Financeiro agrupa todas as funções de orçamento (Controle Orçamentário, Ajuste de Orçamento, Validação de Trade-off, Aprovar Demanda Extraordinária), e Abertura/Período do Ano Fiscal são de núcleo. 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Roteiro de Instalação e Primeira Configuração</w:t>
      </w:r>
    </w:p>
    <w:p>
      <w:r>
        <w:t>Esta seção descreve, na ordem recomendada, o que precisa ser cadastrado numa instalação nova do Compasso — da base "carga zero" (só a estrutura do produto e o usuário PROPRIETÁRIO) até o sistema pronto para receber a primeira demanda. Cada passo indica a tela e a seção do manual onde ela é detalhada. A regra geral é: primeiro a Cognitionis prepara a licença e o acesso mestre; depois o Administrador do cliente monta os cadastros, sempre do que não depende de nada para o que depende do anterior.</w:t>
      </w:r>
    </w:p>
    <w:p>
      <w:r>
        <w:t>Papéis nesta seção: "master da Cognitionis" é o usuário PROPRIETÁRIO, criado pela Cognitionis na entrega e associado à área reservada COGNITIONIS (essa área é fixa do sistema — não aparece em nenhum seletor e o cadastro de Áreas recusa esse nome). "Administrador do cliente" é o primeiro usuário do cliente, que recebe a função ADMINISTRADOR.</w:t>
      </w:r>
    </w:p>
    <w:p>
      <w:pPr>
        <w:pStyle w:val="Heading2"/>
      </w:pPr>
      <w:r>
        <w:t>Bloco A — Preparação pela Cognitionis (master)</w:t>
      </w:r>
    </w:p>
    <w:p>
      <w:r>
        <w:t>Feito uma única vez, pelo PROPRIETÁRIO, antes de entregar o sistema ao cliente.</w:t>
      </w:r>
    </w:p>
    <w:p>
      <w:pPr>
        <w:pStyle w:val="ListBullet"/>
      </w:pPr>
      <w:r>
        <w:t>A1. Dados da Empresa Licenciada (menu Proprietário &gt; Dados da Empresa Licenciada — ver 2.7). Enquanto não estiver preenchida, o sistema abre numa tela de configuração bloqueante e nenhum outro perfil entra. Informar CNPJ, Razão Social, Nome Fantasia, Data de Aquisição, Início e Término da Vigência, Nome para Cabeçalhos, Cor e Logo.</w:t>
      </w:r>
    </w:p>
    <w:p>
      <w:pPr>
        <w:pStyle w:val="ListBullet"/>
      </w:pPr>
      <w:r>
        <w:t>A2. Licenciamento de Módulos (menu Proprietário &gt; Licenciamento de Módulos — ver 2.6 e 13.6). Ligar apenas os módulos contratados pelo cliente (Workflow, E-mail, Financeiro, Planejamento Estratégico). O núcleo está sempre ligado. Telas de módulo desligado não aparecem para ninguém.</w:t>
      </w:r>
    </w:p>
    <w:p>
      <w:pPr>
        <w:pStyle w:val="ListBullet"/>
      </w:pPr>
      <w:r>
        <w:t>A3. Primeiro usuário ADMINISTRADOR do cliente. Ordem: (a) em Parâmetros e Cadastros &gt; Cargos (14.9), garantir pelo menos um cargo; (b) em Perfis de Acesso &gt; Usuários (13.1), criar a conta do Administrador do cliente com senha provisória; (c) em Perfis de Acesso &gt; Funções e Permissões (13.2), criar a função ADMINISTRADOR marcada como "Acesso Irrestrito"; (d) em Perfis de Acesso &gt; Atribuição de Funções aos Usuários (13.3), vincular a função ADMINISTRADOR a essa conta.</w:t>
      </w:r>
    </w:p>
    <w:p>
      <w:r>
        <w:t>A função ADMINISTRADOR e a sua atribuição são responsabilidade exclusiva do master da Cognitionis. O cliente nunca cria nem concede ADMINISTRADOR a si mesmo; a partir daí, o Administrador do cliente cuida dos papéis operacionais (Governança, Gestor de TI, PMO, solicitantes, etc.).</w:t>
      </w:r>
    </w:p>
    <w:p>
      <w:pPr>
        <w:pStyle w:val="Heading2"/>
      </w:pPr>
      <w:r>
        <w:t>Bloco B — Configuração pelo Administrador do cliente</w:t>
      </w:r>
    </w:p>
    <w:p>
      <w:r>
        <w:t>Nesta ordem. Cada item só depende dos anteriores.</w:t>
      </w:r>
    </w:p>
    <w:p>
      <w:pPr>
        <w:pStyle w:val="ListBullet"/>
      </w:pPr>
      <w:r>
        <w:t>B1. Período do Ano Fiscal (Administração &gt; Período do Ano Fiscal — 15.10). Só se o Ano Fiscal do cliente NÃO começar em abril. Fazer antes de abrir o Ano Fiscal, porque quarters e rótulos "AFxxxx" derivam desse mês.</w:t>
      </w:r>
    </w:p>
    <w:p>
      <w:pPr>
        <w:pStyle w:val="ListBullet"/>
      </w:pPr>
      <w:r>
        <w:t>B2. Abertura Ano Fiscal (Ano Fiscal &gt; Abertura Ano Fiscal — 4.1). Numa base sem nenhum Ano Fiscal, usar o botão que inicializa o Ano Fiscal corrente já aberto para demandas. Sem isso, as telas que dependem de Ano Fiscal (Formalizar Demanda, Planejamento Estratégico) não têm o que listar.</w:t>
      </w:r>
    </w:p>
    <w:p>
      <w:pPr>
        <w:pStyle w:val="ListBullet"/>
      </w:pPr>
      <w:r>
        <w:t>B3. Cadastros mestres, nesta sequência de dependência (todos em Parâmetros e Cadastros — seção 14): Cargos (14.9) → Áreas Solicitantes (14.2) → Pessoas Solicitantes (14.3, dependem de Área) → Cadastro de Porte (14.4) → Tipos de Projeto (14.5) → Cadastro de Produtos (14.6) → Retorno / Benefícios de Projeto (14.7).</w:t>
      </w:r>
    </w:p>
    <w:p>
      <w:pPr>
        <w:pStyle w:val="ListBullet"/>
      </w:pPr>
      <w:r>
        <w:t>B4. Motor de workflow (Administração — seção 15): revisar Fases e Etapas do Workflow (15.1) — ordem das etapas, gerente responsável por fase, flag de decisão de aprovação — e conferir a matriz de SLA por etapa e porte (15.2, editada dentro de Fases e Etapas).</w:t>
      </w:r>
    </w:p>
    <w:p>
      <w:pPr>
        <w:pStyle w:val="ListBullet"/>
      </w:pPr>
      <w:r>
        <w:t>B5. Parâmetros de orçamento: Percentual de Bloqueio de Orçamento (15.6) e Controle Orçamentário (15.9 — modo Ano Fiscal, Área ou Produto; o padrão é Ano Fiscal).</w:t>
      </w:r>
    </w:p>
    <w:p>
      <w:pPr>
        <w:pStyle w:val="ListBullet"/>
      </w:pPr>
      <w:r>
        <w:t>B6. Organização de acesso do cliente, nesta ordem: Funções e Permissões (13.2 — criar os papéis operacionais e marcar as atividades de cada um) → Usuários (13.1 — as contas, cada uma com cargo e área) → Atribuição de Funções aos Usuários (13.3) → Responsáveis por Atividade (13.4 — quais usuários podem ser designados em cada etapa) → Restrição de Área por Atividade (13.5 — opcional, se quiser limitar telas por área do usuário).</w:t>
      </w:r>
    </w:p>
    <w:p>
      <w:pPr>
        <w:pStyle w:val="ListBullet"/>
      </w:pPr>
      <w:r>
        <w:t>B7. E-mail (Administração — só se o módulo E-mail estiver ligado): Gestão de Templates (15.3 — os modelos) → Gestão do Fluxo (15.4 — em cada ponto de disparo, definir destinatário, remetente e template, e então ligar a linha) → ligar a Chave Geral de Envio → Gestão de Fila de Envio (15.5) para processar os e-mails.</w:t>
      </w:r>
    </w:p>
    <w:p>
      <w:pPr>
        <w:pStyle w:val="ListBullet"/>
      </w:pPr>
      <w:r>
        <w:t>B8. Planejamento Estratégico (Parâmetros e Cadastros &gt; Planejamento Estratégico — 14.8): cadastrar os Pilares (cada um em um Ano Fiscal já configurado) e, dentro deles, as Iniciativas.</w:t>
      </w:r>
    </w:p>
    <w:p>
      <w:pPr>
        <w:pStyle w:val="Heading2"/>
      </w:pPr>
      <w:r>
        <w:t>Bloco C — Início da operação</w:t>
      </w:r>
    </w:p>
    <w:p>
      <w:r>
        <w:t>Com os blocos A e B concluídos, a base está pronta. O Administrador (ou o perfil de negócio habilitado) formaliza a primeira demanda em Business Case &gt; Formalizar Demanda (seção 5) e o projeto segue a sequência de workflow descrita nas seções 3 a 8.</w:t>
      </w:r>
    </w:p>
    <w:p>
      <w:r>
        <w:t>Ao restaurar um backup ou repetir o teste de instalação nova, o script sql/2026-09-03_carga_zero.sql devolve a base a este ponto de partida: só a estrutura do produto, o usuário PROPRIETÁRIO na área COGNITIONIS, e os gatilhos de e-mail zerados e desligados.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"Dados da Empresa Licenciada" (2.7) e o Licenciamento de Módulos (2.6).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r>
        <w:t>A versão do sistema (ex.: "Versão 1.0.0 · Release 0") aparece no rodapé da tela de login, no rodapé do menu lateral e na tela inicial. É o número a citar em qualquer report de problema.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Empresa Licenciada e Vigência da Licença</w:t>
      </w:r>
    </w:p>
    <w:p>
      <w:r>
        <w:t>Onde: menu Proprietário &gt; Dados da Empresa Licenciada (só o Proprietário vê e edita).</w:t>
      </w:r>
    </w:p>
    <w:p>
      <w:r>
        <w:t>Guarda a identidade da empresa que licenciou o Compasso e o período de validade da licença: CNPJ (validado), Razão Social, Nome Fantasia, Data de Aquisição, Início e Término da Vigência, "Nome para Cabeçalhos" (exibido em MAIÚSCULAS, na cor escolhida), Cor para Exibição e Logo (PNG ou SVG, até 2 MB). O sistema recusa salvar se o início da vigência não for anterior ao término, e avisa se a cor tiver baixo contraste com o cabeçalho.</w:t>
      </w:r>
    </w:p>
    <w:p>
      <w:r>
        <w:t>O nome (e a logo, se houver) aparecem na tela de login abaixo de "Cloud Governance", na tela inicial e no menu lateral, logo abaixo da marca Compasso.</w:t>
      </w:r>
    </w:p>
    <w:p>
      <w:r>
        <w:t>Enquanto a empresa e a vigência não estiverem cadastradas, o sistema abre numa tela de configuração bloqueante: o Proprietário preenche o formulário; os demais perfis só veem "Sistema em configuração, contate o Proprietário".</w:t>
      </w:r>
    </w:p>
    <w:p>
      <w:r>
        <w:t>A cada carregamento o sistema confere se a data de hoje está dentro da vigência. A partir de N dias antes do fim (30 por padrão, configurável) aparece um aviso amarelo no topo para Proprietário/Administrador. Vencida a vigência, o sistema mostra a tela "Licença Expirada" e não abre nenhuma outra tela — só o Proprietário vê o campo de "Código de Renovação". Toda verificação que nega acesso e toda tentativa de renovação ficam registradas.</w:t>
      </w:r>
    </w:p>
    <w:p>
      <w:r>
        <w:t>Renovação: o Proprietário solicita à Cognitionis (fora do sistema), recebe um código assinado, e cola no campo "Código de Renovação". Um serviço no servidor confere a assinatura e o CNPJ e, se conferir, estende automaticamente a Data de Término da Vigência. A chave de assinatura nunca fica no navegador.</w:t>
      </w:r>
    </w:p>
    <w:p>
      <w:pPr>
        <w:pStyle w:val="Heading2"/>
      </w:pPr>
      <w:r>
        <w:t>2.8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2.9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 e a Dados da Empresa Licenciada.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Empresa Licenciada</w:t>
            </w:r>
          </w:p>
        </w:tc>
        <w:tc>
          <w:tcPr>
            <w:tcW w:type="dxa" w:w="4153"/>
          </w:tcPr>
          <w:p>
            <w:r>
              <w:t>A empresa que contratou o Compasso — dados, identidade visual e a vigência da licença. Ver 2.7.</w:t>
            </w:r>
          </w:p>
        </w:tc>
      </w:tr>
      <w:tr>
        <w:tc>
          <w:tcPr>
            <w:tcW w:type="dxa" w:w="4153"/>
          </w:tcPr>
          <w:p>
            <w:r>
              <w:t>Vigência da Licença</w:t>
            </w:r>
          </w:p>
        </w:tc>
        <w:tc>
          <w:tcPr>
            <w:tcW w:type="dxa" w:w="4153"/>
          </w:tcPr>
          <w:p>
            <w:r>
              <w:t>Período [início, término] em que o Compasso pode ser usado. Fora dele, só a tela de renovação abre.</w:t>
            </w:r>
          </w:p>
        </w:tc>
      </w:tr>
      <w:tr>
        <w:tc>
          <w:tcPr>
            <w:tcW w:type="dxa" w:w="4153"/>
          </w:tcPr>
          <w:p>
            <w:r>
              <w:t>Código de Renovação</w:t>
            </w:r>
          </w:p>
        </w:tc>
        <w:tc>
          <w:tcPr>
            <w:tcW w:type="dxa" w:w="4153"/>
          </w:tcPr>
          <w:p>
            <w:r>
              <w:t>Token assinado pela Cognitionis que, colado pelo Proprietário e validado no servidor, estende a vigência da licença.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