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65D"/>
          <w:sz w:val="48"/>
        </w:rPr>
        <w:t>MANUAL FUNCIONAL</w:t>
      </w:r>
    </w:p>
    <w:p>
      <w:r>
        <w:rPr>
          <w:b/>
          <w:color w:val="365F91"/>
          <w:sz w:val="28"/>
        </w:rPr>
        <w:t>Sistema Compasso</w:t>
      </w:r>
    </w:p>
    <w:p>
      <w:r>
        <w:rPr>
          <w:b/>
          <w:color w:val="365F91"/>
          <w:sz w:val="28"/>
        </w:rPr>
        <w:t>Governança de Portfólio de TI — Funcionamento, Regras e Sequência de Workflow</w:t>
      </w:r>
    </w:p>
    <w:p>
      <w:r>
        <w:t>Este manual descreve o sistema como ele funciona hoje — apenas telas, regras e fluxos já implementados e em operação.</w:t>
      </w:r>
    </w:p>
    <w:p>
      <w:r>
        <w:t>Versão 9.1 — 8 de setembro de 2026</w:t>
      </w:r>
    </w:p>
    <w:p>
      <w:r>
        <w:t>Novidades da versão 9.1: as aprovações do Business Case (Aprovar Orçamento por Projeto / Comitê e Aprovar Orçamento Ano Fiscal) e a trava de variação de orçamento (Percentual de Bloqueio, Mudança de Orçamento) passaram do módulo Financeiro para o Workflow — eram passos obrigatórios do fluxo e sumiam quando o cliente não licenciava o Financeiro (2.6). Novidades da versão 9.0: nova caixa "Ignora Restrição de Área" no cadastro de Funções (2.5/13.2) — exceção concedível por papel, sem dar Acesso Irrestrito; Cadastro de Produtos, Tipos de Projeto e Cargos passam a permitir editar o nome/descrição enquanto não estiverem em uso (14.5/14.6/14.9); Percentual de Bloqueio de Orçamento (15.6) passa a mostrar o valor vigente e o histórico de alterações; e a coluna Fase da Gestão do Fluxo de E-mail (15.4) mostra os nomes padronizados (Requerimentos, Especificação, Execução). Novidades da versão 8.0: nova seção inicial "Roteiro de Instalação e Primeira Configuração" — a ordem recomendada de cadastros numa instalação nova, do cadastro da empresa licenciada e dos módulos (feito pela Cognitionis) até a base pronta para a primeira demanda (feito pelo Administrador do cliente); e "Ferramentas de Dev" passou a ser exclusiva do PROPRIETÁRIO (antes bastava ter Acesso Irrestrito). Novidades da versão 7.0: (Proprietário) "Dados da Empresa Licenciada" (2.7) — cadastro da empresa que licenciou o Compasso, com nome/logo/cor exibidos no login, na tela inicial e no cabeçalho, e a vigência da licença: configuração inicial bloqueante, aviso preventivo de vencimento, tela "Licença Expirada" e renovação por código assinado. O grupo de menus de cada módulo passou a vir de uma tabela de configuração (não mais fixo no código); o Financeiro agrupa todas as funções de orçamento (Controle Orçamentário, Ajuste de Orçamento, Validação de Trade-off, Aprovar Demanda Extraordinária), e Abertura/Período do Ano Fiscal são de núcleo. Novidades da versão 6.0: (Administração) "Controle Orçamentário" — parâmetro que define se o trade-off da Demanda Extraordinária considera todos os projetos do Ano Fiscal (padrão), só os da mesma Área ou só os do mesmo Produto do projeto extraordinário; (Administração) "Período do Ano Fiscal" — o mês em que o Ano Fiscal começa deixou de ser fixo (abril) e passou a ser configurável, com vigência; (Ano Fiscal) "Validação de Trade-off Extraordinário" — fila de aprovação para as simulações de trade-off que cruzam Área/Produto. Novidades da versão 5.0 (ainda vigentes): Versão do manual sob a marca Compasso. Novidades acumuladas nesta revisão: tela de Fechamento Ano Fiscal (menu Ano Fiscal), com duas abas — a avaliação consolidada do ano com o botão "Fechar Ano Fiscal" (fechamento formal, com log, distinto do fechamento do orçamento) e a decisão projeto a projeto (Carryover Desenvolvimento / Carryover Hold / Cancelar / Reverter) — substituindo a antiga tela "Projetos Carry Over"; o seletor de Ano Fiscal do Dashboard/Roadmap/Financeiro/Consulta passa a ser alimentado pela configuração de Anos Fiscais (lista de todos os AFs cadastrados + "Todos" + "Pipeline"), não mais pela data do dia; o Quadro de Orçamento ganhou duas linhas de contagem de projetos e separou o Carry Over em "Em Andamento" e "Em Hold"; o quadro "Projetos na Criação do Ano Fiscal" ganhou a linha de cancelados; o Detalhamento do Projeto teve o cabeçalho reorganizado e ganhou a seção "Decisões de Fechamento"; e o Termo de Aceite do Go-Live passou a ser pré-requisito real da conclusão do projeto, não podendo ser registrado antes dos 100% de evolução. Novidades das revisões anteriores, ainda vigentes: papel PROPRIETÁRIO e Licenciamento de Módulos; permissões por atividade com quatro verbos (Consultar, Incluir, Alterar, Deletar); proteção no banco de dados (RLS) ativada nas tabelas centrais de controle de acesso; Cadastro de Produtos e associação obrigatória de Produto à demanda; Agrupamento de Orçamento por Ano Fiscal, Área ou Produto; tela de Ajuste de Orçamento; e padronização de nomenclatura (Ano Fiscal, Requerimentos, Especificação, Execução, Retorno/Benefícios de Projeto).</w:t>
      </w:r>
    </w:p>
    <w:p>
      <w:pPr>
        <w:pStyle w:val="Heading1"/>
      </w:pPr>
      <w:r>
        <w:t>Sumário</w:t>
      </w:r>
    </w:p>
    <w:p>
      <w:r>
        <w:t>Clique com o botão direito sobre o sumário e escolha "Atualizar Campo" para gerar/atualizar o sumário.</w:t>
      </w:r>
    </w:p>
    <w:p>
      <w:pPr>
        <w:pStyle w:val="Heading1"/>
      </w:pPr>
      <w:r>
        <w:t>Roteiro de Instalação e Primeira Configuração</w:t>
      </w:r>
    </w:p>
    <w:p>
      <w:r>
        <w:t>Esta seção descreve, na ordem recomendada, o que precisa ser cadastrado numa instalação nova do Compasso — da base "carga zero" (só a estrutura do produto e o usuário PROPRIETÁRIO) até o sistema pronto para receber a primeira demanda. Cada passo indica a tela e a seção do manual onde ela é detalhada. A regra geral é: primeiro a Cognitionis prepara a licença e o acesso mestre; depois o Administrador do cliente monta os cadastros, sempre do que não depende de nada para o que depende do anterior.</w:t>
      </w:r>
    </w:p>
    <w:p>
      <w:r>
        <w:t>Papéis nesta seção: "master da Cognitionis" é o usuário PROPRIETÁRIO, criado pela Cognitionis na entrega e associado à área reservada COGNITIONIS (essa área é fixa do sistema — não aparece em nenhum seletor e o cadastro de Áreas recusa esse nome). "Administrador do cliente" é o primeiro usuário do cliente, que recebe a função ADMINISTRADOR.</w:t>
      </w:r>
    </w:p>
    <w:p>
      <w:pPr>
        <w:pStyle w:val="Heading2"/>
      </w:pPr>
      <w:r>
        <w:t>Bloco A — Preparação pela Cognitionis (master)</w:t>
      </w:r>
    </w:p>
    <w:p>
      <w:r>
        <w:t>Feito uma única vez, pelo PROPRIETÁRIO, antes de entregar o sistema ao cliente.</w:t>
      </w:r>
    </w:p>
    <w:p>
      <w:pPr>
        <w:pStyle w:val="ListBullet"/>
      </w:pPr>
      <w:r>
        <w:t>A1. Dados da Empresa Licenciada (menu Proprietário &gt; Dados da Empresa Licenciada — ver 2.7). Enquanto não estiver preenchida, o sistema abre numa tela de configuração bloqueante e nenhum outro perfil entra. Informar CNPJ, Razão Social, Nome Fantasia, Data de Aquisição, Início e Término da Vigência, Nome para Cabeçalhos, Cor e Logo.</w:t>
      </w:r>
    </w:p>
    <w:p>
      <w:pPr>
        <w:pStyle w:val="ListBullet"/>
      </w:pPr>
      <w:r>
        <w:t>A2. Licenciamento de Módulos (menu Proprietário &gt; Licenciamento de Módulos — ver 2.6 e 13.6). Ligar apenas os módulos contratados pelo cliente (Workflow, E-mail, Financeiro, Planejamento Estratégico). O núcleo está sempre ligado. Telas de módulo desligado não aparecem para ninguém.</w:t>
      </w:r>
    </w:p>
    <w:p>
      <w:pPr>
        <w:pStyle w:val="ListBullet"/>
      </w:pPr>
      <w:r>
        <w:t>A3. Primeiro usuário ADMINISTRADOR do cliente. Ordem: (a) em Parâmetros e Cadastros &gt; Cargos (14.9), garantir pelo menos um cargo; (b) em Perfis de Acesso &gt; Usuários (13.1), criar a conta do Administrador do cliente com senha provisória; (c) em Perfis de Acesso &gt; Funções e Permissões (13.2), criar a função ADMINISTRADOR marcada como "Acesso Irrestrito"; (d) em Perfis de Acesso &gt; Atribuição de Funções aos Usuários (13.3), ATRIBUIR a função ADMINISTRADOR à conta criada no passo (b). Este passo (d) é obrigatório: sem a atribuição, a conta entra no sistema sem permissão nenhuma — criar o usuário e criar a função não bastam.</w:t>
      </w:r>
    </w:p>
    <w:p>
      <w:r>
        <w:t>A função ADMINISTRADOR e a sua atribuição são responsabilidade exclusiva do master da Cognitionis. O cliente nunca cria nem concede ADMINISTRADOR a si mesmo; a partir daí, o Administrador do cliente cuida dos papéis operacionais (Governança, Gestor de TI, PMO, solicitantes, etc.).</w:t>
      </w:r>
    </w:p>
    <w:p>
      <w:pPr>
        <w:pStyle w:val="Heading2"/>
      </w:pPr>
      <w:r>
        <w:t>Bloco B — Configuração pelo Administrador do cliente</w:t>
      </w:r>
    </w:p>
    <w:p>
      <w:r>
        <w:t>Nesta ordem. Cada item só depende dos anteriores.</w:t>
      </w:r>
    </w:p>
    <w:p>
      <w:pPr>
        <w:pStyle w:val="ListBullet"/>
      </w:pPr>
      <w:r>
        <w:t>B1. Período do Ano Fiscal (Administração &gt; Período do Ano Fiscal — 15.10). Só se o Ano Fiscal do cliente NÃO começar em abril. Fazer antes de abrir o Ano Fiscal, porque quarters e rótulos "AFxxxx" derivam desse mês.</w:t>
      </w:r>
    </w:p>
    <w:p>
      <w:pPr>
        <w:pStyle w:val="ListBullet"/>
      </w:pPr>
      <w:r>
        <w:t>B2. Abertura Ano Fiscal (Ano Fiscal &gt; Abertura Ano Fiscal — 4.1). Numa base sem nenhum Ano Fiscal, usar o botão que inicializa o Ano Fiscal corrente já aberto para demandas. Sem isso, as telas que dependem de Ano Fiscal (Formalizar Demanda, Planejamento Estratégico) não têm o que listar.</w:t>
      </w:r>
    </w:p>
    <w:p>
      <w:pPr>
        <w:pStyle w:val="ListBullet"/>
      </w:pPr>
      <w:r>
        <w:t>B3. Cadastros mestres, nesta sequência de dependência (todos em Parâmetros e Cadastros — seção 14): Cargos (14.9) → Áreas Solicitantes (14.2) → Pessoas Solicitantes (14.3, dependem de Área) → Cadastro de Porte (14.4) → Tipos de Projeto (14.5) → Cadastro de Produtos (14.6) → Retorno / Benefícios de Projeto (14.7).</w:t>
      </w:r>
    </w:p>
    <w:p>
      <w:pPr>
        <w:pStyle w:val="ListBullet"/>
      </w:pPr>
      <w:r>
        <w:t>B4. Motor de workflow (Administração — seção 15): revisar Fases e Etapas do Workflow (15.1) — ordem das etapas, gerente responsável por fase, flag de decisão de aprovação — e conferir a matriz de SLA por etapa e porte (15.2, editada dentro de Fases e Etapas).</w:t>
      </w:r>
    </w:p>
    <w:p>
      <w:pPr>
        <w:pStyle w:val="ListBullet"/>
      </w:pPr>
      <w:r>
        <w:t>B5. Parâmetros de orçamento: Percentual de Bloqueio de Orçamento (15.6) e Controle Orçamentário (15.9 — modo Ano Fiscal, Área ou Produto; o padrão é Ano Fiscal).</w:t>
      </w:r>
    </w:p>
    <w:p>
      <w:pPr>
        <w:pStyle w:val="ListBullet"/>
      </w:pPr>
      <w:r>
        <w:t>B6. Organização de acesso do cliente, nesta ordem: Funções e Permissões (13.2 — criar os papéis operacionais e marcar as atividades de cada um) → Usuários (13.1 — as contas, cada uma com cargo e área) → Atribuição de Funções aos Usuários (13.3) → Responsáveis por Atividade (13.4 — quais usuários podem ser designados em cada etapa) → Restrição de Área por Atividade (13.5 — opcional, se quiser limitar telas por área do usuário).</w:t>
      </w:r>
    </w:p>
    <w:p>
      <w:pPr>
        <w:pStyle w:val="ListBullet"/>
      </w:pPr>
      <w:r>
        <w:t>B7. E-mail (Administração — só se o módulo E-mail estiver ligado): Gestão de Templates (15.3 — os modelos) → Gestão do Fluxo (15.4 — em cada ponto de disparo, definir destinatário, remetente e template, e então ligar a linha) → ligar a Chave Geral de Envio → Gestão de Fila de Envio (15.5) para processar os e-mails.</w:t>
      </w:r>
    </w:p>
    <w:p>
      <w:pPr>
        <w:pStyle w:val="ListBullet"/>
      </w:pPr>
      <w:r>
        <w:t>B8. Planejamento Estratégico (Parâmetros e Cadastros &gt; Planejamento Estratégico — 14.8): cadastrar os Pilares (cada um em um Ano Fiscal já configurado) e, dentro deles, as Iniciativas.</w:t>
      </w:r>
    </w:p>
    <w:p>
      <w:pPr>
        <w:pStyle w:val="Heading2"/>
      </w:pPr>
      <w:r>
        <w:t>Bloco C — Início da operação</w:t>
      </w:r>
    </w:p>
    <w:p>
      <w:r>
        <w:t>Com os blocos A e B concluídos, a base está pronta. O Administrador (ou o perfil de negócio habilitado) formaliza a primeira demanda em Business Case &gt; Formalizar Demanda (seção 5) e o projeto segue a sequência de workflow descrita nas seções 3 a 8.</w:t>
      </w:r>
    </w:p>
    <w:p>
      <w:r>
        <w:t>Ao restaurar um backup ou repetir o teste de instalação nova, o script sql/2026-09-03_carga_zero.sql devolve a base a este ponto de partida: só a estrutura do produto, o usuário PROPRIETÁRIO na área COGNITIONIS, e os gatilhos de e-mail zerados e desligados.</w:t>
      </w:r>
    </w:p>
    <w:p>
      <w:pPr>
        <w:pStyle w:val="Heading1"/>
      </w:pPr>
      <w:r>
        <w:t>1. Visão Geral do Sistema</w:t>
      </w:r>
    </w:p>
    <w:p>
      <w:r>
        <w:t>O Compasso é o sistema de governança do ciclo de vida das demandas e projetos de TI. Ele acompanha cada demanda desde a formalização inicial até a conclusão do projeto, passando por planejamento, orçamento, aprovações, requerimentos, especificação, execução, homologação (UAT) e Go-Live — incluindo o controle de contratos com terceiros, o acompanhamento de cronograma e o encerramento formal do projeto.</w:t>
      </w:r>
    </w:p>
    <w:p>
      <w:r>
        <w:t>O objetivo é dar visibilidade e controle sobre todo o portfólio: quanto cada demanda custa (em R$ e em horas), em que fase está, quem é responsável por cada etapa, se está dentro do prazo (SLA), se o orçamento está variando muito ao longo do tempo, a que Produto e Área ela pertence, e como cada projeto se conecta às prioridades estratégicas da empresa.</w:t>
      </w:r>
    </w:p>
    <w:p>
      <w:pPr>
        <w:pStyle w:val="Heading2"/>
      </w:pPr>
      <w:r>
        <w:t>1.1 Conceitos-chave</w:t>
      </w:r>
    </w:p>
    <w:tbl>
      <w:tblPr>
        <w:tblStyle w:val="LightGrid-Accent1"/>
        <w:tblW w:type="auto" w:w="0"/>
        <w:tblLook w:firstColumn="1" w:firstRow="1" w:lastColumn="0" w:lastRow="0" w:noHBand="0" w:noVBand="1" w:val="04A0"/>
      </w:tblPr>
      <w:tblGrid>
        <w:gridCol w:w="4153"/>
        <w:gridCol w:w="4153"/>
      </w:tblGrid>
      <w:tr>
        <w:tc>
          <w:tcPr>
            <w:tcW w:type="dxa" w:w="4153"/>
          </w:tcPr>
          <w:p>
            <w:r>
              <w:rPr>
                <w:b/>
              </w:rPr>
              <w:t>Termo</w:t>
            </w:r>
          </w:p>
        </w:tc>
        <w:tc>
          <w:tcPr>
            <w:tcW w:type="dxa" w:w="4153"/>
          </w:tcPr>
          <w:p>
            <w:r>
              <w:rPr>
                <w:b/>
              </w:rPr>
              <w:t>Significado</w:t>
            </w:r>
          </w:p>
        </w:tc>
      </w:tr>
      <w:tr>
        <w:tc>
          <w:tcPr>
            <w:tcW w:type="dxa" w:w="4153"/>
          </w:tcPr>
          <w:p>
            <w:r>
              <w:t>Ano Fiscal (AF)</w:t>
            </w:r>
          </w:p>
        </w:tc>
        <w:tc>
          <w:tcPr>
            <w:tcW w:type="dxa" w:w="4153"/>
          </w:tcPr>
          <w:p>
            <w:r>
              <w:t>Ciclo orçamentário anual do sistema. O Q4 vai de janeiro a março, e é esse ano-calendário que dá nome ao AF inteiro — o AF2027 cobre abril/2026 a março/2027.</w:t>
            </w:r>
          </w:p>
        </w:tc>
      </w:tr>
      <w:tr>
        <w:tc>
          <w:tcPr>
            <w:tcW w:type="dxa" w:w="4153"/>
          </w:tcPr>
          <w:p>
            <w:r>
              <w:t>Produto</w:t>
            </w:r>
          </w:p>
        </w:tc>
        <w:tc>
          <w:tcPr>
            <w:tcW w:type="dxa" w:w="4153"/>
          </w:tcPr>
          <w:p>
            <w:r>
              <w:t>NOVO. Categoria de negócio à qual toda demanda passa a pertencer (ex.: um produto comercial, uma plataforma). Cadastrável em Parâmetros e Cadastros &gt; Cadastro de Produtos, e de preenchimento obrigatório na Formalização da Demanda. Existe um Produto reservado "Não Classificado", usado apenas nos projetos antigos migrados — ele não pode ser escolhido em demandas novas.</w:t>
            </w:r>
          </w:p>
        </w:tc>
      </w:tr>
      <w:tr>
        <w:tc>
          <w:tcPr>
            <w:tcW w:type="dxa" w:w="4153"/>
          </w:tcPr>
          <w:p>
            <w:r>
              <w:t>Área Solicitante</w:t>
            </w:r>
          </w:p>
        </w:tc>
        <w:tc>
          <w:tcPr>
            <w:tcW w:type="dxa" w:w="4153"/>
          </w:tcPr>
          <w:p>
            <w:r>
              <w:t>Área da empresa que pede a demanda. Também cadastrável, e usada tanto para responsabilização quanto para agrupar orçamento (ver 12.2).</w:t>
            </w:r>
          </w:p>
        </w:tc>
      </w:tr>
      <w:tr>
        <w:tc>
          <w:tcPr>
            <w:tcW w:type="dxa" w:w="4153"/>
          </w:tcPr>
          <w:p>
            <w:r>
              <w:t>Porte do Projeto</w:t>
            </w:r>
          </w:p>
        </w:tc>
        <w:tc>
          <w:tcPr>
            <w:tcW w:type="dxa" w:w="4153"/>
          </w:tcPr>
          <w:p>
            <w:r>
              <w:t>Classificação (ex.: P, M, G, GG — os códigos são cadastráveis) calculada automaticamente a partir da quantidade de HORAS do projeto, comparando com as faixas configuradas em Cadastro de Porte.</w:t>
            </w:r>
          </w:p>
        </w:tc>
      </w:tr>
      <w:tr>
        <w:tc>
          <w:tcPr>
            <w:tcW w:type="dxa" w:w="4153"/>
          </w:tcPr>
          <w:p>
            <w:r>
              <w:t>Qualificação da Demanda</w:t>
            </w:r>
          </w:p>
        </w:tc>
        <w:tc>
          <w:tcPr>
            <w:tcW w:type="dxa" w:w="4153"/>
          </w:tcPr>
          <w:p>
            <w:r>
              <w:t>Classificação obrigatória: GROW (crescimento), REG (regulatório) ou RUN (manutenção/operação).</w:t>
            </w:r>
          </w:p>
        </w:tc>
      </w:tr>
      <w:tr>
        <w:tc>
          <w:tcPr>
            <w:tcW w:type="dxa" w:w="4153"/>
          </w:tcPr>
          <w:p>
            <w:r>
              <w:t>Tipo de Projeto</w:t>
            </w:r>
          </w:p>
        </w:tc>
        <w:tc>
          <w:tcPr>
            <w:tcW w:type="dxa" w:w="4153"/>
          </w:tcPr>
          <w:p>
            <w:r>
              <w:t>Categoria cadastrável (código curto + descrição) escolhida obrigatoriamente na Formalização da Demanda.</w:t>
            </w:r>
          </w:p>
        </w:tc>
      </w:tr>
      <w:tr>
        <w:tc>
          <w:tcPr>
            <w:tcW w:type="dxa" w:w="4153"/>
          </w:tcPr>
          <w:p>
            <w:r>
              <w:t>Demanda Extraordinária</w:t>
            </w:r>
          </w:p>
        </w:tc>
        <w:tc>
          <w:tcPr>
            <w:tcW w:type="dxa" w:w="4153"/>
          </w:tcPr>
          <w:p>
            <w:r>
              <w:t>Demanda urgente fora do ciclo normal de aprovação orçamentária anual, incluída via um fluxo próprio de simulação e trade-off com outros projetos (ver 5.6). Tem processo de aprovação exclusivo — não passa pelo Comitê nem pelo fechamento do orçamento do AF corrente.</w:t>
            </w:r>
          </w:p>
        </w:tc>
      </w:tr>
      <w:tr>
        <w:tc>
          <w:tcPr>
            <w:tcW w:type="dxa" w:w="4153"/>
          </w:tcPr>
          <w:p>
            <w:r>
              <w:t>Carryover</w:t>
            </w:r>
          </w:p>
        </w:tc>
        <w:tc>
          <w:tcPr>
            <w:tcW w:type="dxa" w:w="4153"/>
          </w:tcPr>
          <w:p>
            <w:r>
              <w:t>Marcação (não muda o Ano Fiscal do projeto) que indica que o saldo ainda não utilizado de um projeto será levado adiante para o próximo ciclo. O valor de carryover é sempre calculado automaticamente, nunca digitado. É definido na aba "Avaliação Projetos Fechamento Ano Fiscal" da tela Fechamento Ano Fiscal (ver 4.2), em duas formas: Carryover Desenvolvimento (o projeto segue em andamento no próximo AF) e Carryover Hold (entra no próximo AF já em Hold). Tem tratamento próprio, separado da aprovação do AF corrente.</w:t>
            </w:r>
          </w:p>
        </w:tc>
      </w:tr>
      <w:tr>
        <w:tc>
          <w:tcPr>
            <w:tcW w:type="dxa" w:w="4153"/>
          </w:tcPr>
          <w:p>
            <w:r>
              <w:t>Fechamento de Ano Fiscal</w:t>
            </w:r>
          </w:p>
        </w:tc>
        <w:tc>
          <w:tcPr>
            <w:tcW w:type="dxa" w:w="4153"/>
          </w:tcPr>
          <w:p>
            <w:r>
              <w:t>NOVO. Encerramento formal de um Ano Fiscal — grava quem fechou, quando e um comentário, e passa a ser exigido para abrir o próximo AF. É diferente do fechamento do orçamento (5.5): um AF pode ter o orçamento fechado e ainda não estar formalmente encerrado. Só pode ser feito quando nenhum projeto do AF segue "em andamento" — todos precisam estar em Carryover, Hold ou Cancelado (ver 4.2).</w:t>
            </w:r>
          </w:p>
        </w:tc>
      </w:tr>
      <w:tr>
        <w:tc>
          <w:tcPr>
            <w:tcW w:type="dxa" w:w="4153"/>
          </w:tcPr>
          <w:p>
            <w:r>
              <w:t>Agrupamento de Orçamento</w:t>
            </w:r>
          </w:p>
        </w:tc>
        <w:tc>
          <w:tcPr>
            <w:tcW w:type="dxa" w:w="4153"/>
          </w:tcPr>
          <w:p>
            <w:r>
              <w:t>NOVO. No Dashboard e no Financeiro, a visão de orçamento pode ser organizada por Ano Fiscal (padrão), por Área ou por Produto. A seleção ativa aparece na linha "Visão por:" e recalcula a tela inteira (ver 12.2).</w:t>
            </w:r>
          </w:p>
        </w:tc>
      </w:tr>
      <w:tr>
        <w:tc>
          <w:tcPr>
            <w:tcW w:type="dxa" w:w="4153"/>
          </w:tcPr>
          <w:p>
            <w:r>
              <w:t>Ajuste de Orçamento</w:t>
            </w:r>
          </w:p>
        </w:tc>
        <w:tc>
          <w:tcPr>
            <w:tcW w:type="dxa" w:w="4153"/>
          </w:tcPr>
          <w:p>
            <w:r>
              <w:t>NOVO. Registro formal de autorização para mover orçamento entre subgrupos diferentes (áreas ou produtos distintos) nos processos de Carryover e Demanda Extraordinária (ver 4.3).</w:t>
            </w:r>
          </w:p>
        </w:tc>
      </w:tr>
      <w:tr>
        <w:tc>
          <w:tcPr>
            <w:tcW w:type="dxa" w:w="4153"/>
          </w:tcPr>
          <w:p>
            <w:r>
              <w:t>Subprojeto</w:t>
            </w:r>
          </w:p>
        </w:tc>
        <w:tc>
          <w:tcPr>
            <w:tcW w:type="dxa" w:w="4153"/>
          </w:tcPr>
          <w:p>
            <w:r>
              <w:t>Projeto "filho" criado a partir de um projeto na fase de Execução, com código próprio, que segue o workflow normalmente.</w:t>
            </w:r>
          </w:p>
        </w:tc>
      </w:tr>
      <w:tr>
        <w:tc>
          <w:tcPr>
            <w:tcW w:type="dxa" w:w="4153"/>
          </w:tcPr>
          <w:p>
            <w:r>
              <w:t>Código do Projeto</w:t>
            </w:r>
          </w:p>
        </w:tc>
        <w:tc>
          <w:tcPr>
            <w:tcW w:type="dxa" w:w="4153"/>
          </w:tcPr>
          <w:p>
            <w:r>
              <w:t>Identificador único gerado automaticamente no formato PRJ-FYxx-000-ARE (ano fiscal, número sequencial e mnemônico da área).</w:t>
            </w:r>
          </w:p>
        </w:tc>
      </w:tr>
      <w:tr>
        <w:tc>
          <w:tcPr>
            <w:tcW w:type="dxa" w:w="4153"/>
          </w:tcPr>
          <w:p>
            <w:r>
              <w:t>CAPEX / OPEX</w:t>
            </w:r>
          </w:p>
        </w:tc>
        <w:tc>
          <w:tcPr>
            <w:tcW w:type="dxa" w:w="4153"/>
          </w:tcPr>
          <w:p>
            <w:r>
              <w:t>Classificação financeira definida na conclusão de "Orçamentar Demanda" — usada nos totais do Dashboard e do Financeiro.</w:t>
            </w:r>
          </w:p>
        </w:tc>
      </w:tr>
      <w:tr>
        <w:tc>
          <w:tcPr>
            <w:tcW w:type="dxa" w:w="4153"/>
          </w:tcPr>
          <w:p>
            <w:r>
              <w:t>Pilar / Iniciativa Estratégica</w:t>
            </w:r>
          </w:p>
        </w:tc>
        <w:tc>
          <w:tcPr>
            <w:tcW w:type="dxa" w:w="4153"/>
          </w:tcPr>
          <w:p>
            <w:r>
              <w:t>Estrutura de planejamento estratégico à qual uma demanda pode ser associada (ver 14.8).</w:t>
            </w:r>
          </w:p>
        </w:tc>
      </w:tr>
      <w:tr>
        <w:tc>
          <w:tcPr>
            <w:tcW w:type="dxa" w:w="4153"/>
          </w:tcPr>
          <w:p>
            <w:r>
              <w:t>Atividade</w:t>
            </w:r>
          </w:p>
        </w:tc>
        <w:tc>
          <w:tcPr>
            <w:tcW w:type="dxa" w:w="4153"/>
          </w:tcPr>
          <w:p>
            <w:r>
              <w:t>A unidade mínima de controle de acesso: uma tela ou uma sub-aba específica do sistema. Cada atividade tem quatro permissões independentes — Consultar, Incluir, Alterar e Deletar (ver 2).</w:t>
            </w:r>
          </w:p>
        </w:tc>
      </w:tr>
      <w:tr>
        <w:tc>
          <w:tcPr>
            <w:tcW w:type="dxa" w:w="4153"/>
          </w:tcPr>
          <w:p>
            <w:r>
              <w:t>Papel (Função)</w:t>
            </w:r>
          </w:p>
        </w:tc>
        <w:tc>
          <w:tcPr>
            <w:tcW w:type="dxa" w:w="4153"/>
          </w:tcPr>
          <w:p>
            <w:r>
              <w:t>Conjunto de atividades e permissões concedido a um usuário. Um papel pode ser marcado como Acesso Irrestrito (equivalente a Administrador) e, um nível acima, como PROPRIETÁRIO (ver 2.2).</w:t>
            </w:r>
          </w:p>
        </w:tc>
      </w:tr>
      <w:tr>
        <w:tc>
          <w:tcPr>
            <w:tcW w:type="dxa" w:w="4153"/>
          </w:tcPr>
          <w:p>
            <w:r>
              <w:t>Licenciamento de Módulos</w:t>
            </w:r>
          </w:p>
        </w:tc>
        <w:tc>
          <w:tcPr>
            <w:tcW w:type="dxa" w:w="4153"/>
          </w:tcPr>
          <w:p>
            <w:r>
              <w:t>NOVO. Interruptor por módulo do sistema (Workflow, E-mail, Financeiro, Planejamento Estratégico). Um módulo desligado esconde as telas dele para todos, inclusive Administrador e Proprietário (ver 2.6).</w:t>
            </w:r>
          </w:p>
        </w:tc>
      </w:tr>
    </w:tbl>
    <w:p>
      <w:pPr>
        <w:pStyle w:val="Heading2"/>
      </w:pPr>
      <w:r>
        <w:t>1.2 Como o sistema está organizado</w:t>
      </w:r>
    </w:p>
    <w:p>
      <w:r>
        <w:t>A navegação segue a jornada de um projeto, de cima para baixo no menu lateral. O menu só mostra os grupos e itens para os quais o usuário logado tem permissão — um grupo sem nenhum item visível some por inteiro.</w:t>
      </w:r>
    </w:p>
    <w:p>
      <w:pPr>
        <w:pStyle w:val="ListBullet"/>
      </w:pPr>
      <w:r>
        <w:t>Ano Fiscal — abertura do ciclo orçamentário, Fechamento Ano Fiscal (avaliação consolidada do ano, botão de fechamento formal e a decisão de Carryover/Hold/Cancelamento projeto a projeto), Ajuste de Orçamento e Validação de Trade-off Extraordinário.</w:t>
      </w:r>
    </w:p>
    <w:p>
      <w:pPr>
        <w:pStyle w:val="ListBullet"/>
      </w:pPr>
      <w:r>
        <w:t>Business Case — formalização, orçamento e aprovações iniciais (incluindo o caminho Extraordinário).</w:t>
      </w:r>
    </w:p>
    <w:p>
      <w:pPr>
        <w:pStyle w:val="ListBullet"/>
      </w:pPr>
      <w:r>
        <w:t>Requerimentos — levantamento e avaliação de negócio/TI dos requerimentos.</w:t>
      </w:r>
    </w:p>
    <w:p>
      <w:pPr>
        <w:pStyle w:val="ListBullet"/>
      </w:pPr>
      <w:r>
        <w:t>Especificação — especificação técnica e avaliação de negócio (era "Technical").</w:t>
      </w:r>
    </w:p>
    <w:p>
      <w:pPr>
        <w:pStyle w:val="ListBullet"/>
      </w:pPr>
      <w:r>
        <w:t>Execução — planejamento conjunto de Execução/UAT/Go-Live, subprojetos e conclusão do projeto (era "Execução - Desenvolvimento").</w:t>
      </w:r>
    </w:p>
    <w:p>
      <w:pPr>
        <w:pStyle w:val="ListBullet"/>
      </w:pPr>
      <w:r>
        <w:t>Governança — cobrança de ajustes, liberação de projetos em Hold e mudança de orçamento.</w:t>
      </w:r>
    </w:p>
    <w:p>
      <w:pPr>
        <w:pStyle w:val="ListBullet"/>
      </w:pPr>
      <w:r>
        <w:t>Contratos e Terceiros — empresas, contratos, vínculo de contrato por projeto, registro de valores e relatório.</w:t>
      </w:r>
    </w:p>
    <w:p>
      <w:pPr>
        <w:pStyle w:val="ListBullet"/>
      </w:pPr>
      <w:r>
        <w:t>Perfis de Acesso — usuários, funções e permissões, atribuição de funções e restrição de área.</w:t>
      </w:r>
    </w:p>
    <w:p>
      <w:pPr>
        <w:pStyle w:val="ListBullet"/>
      </w:pPr>
      <w:r>
        <w:t>Parâmetros e Cadastros — áreas, pessoas, porte, tipos de projeto, Cadastro de Produtos, retorno/benefícios, planejamento estratégico e cargos.</w:t>
      </w:r>
    </w:p>
    <w:p>
      <w:pPr>
        <w:pStyle w:val="ListBullet"/>
      </w:pPr>
      <w:r>
        <w:t>Administração — fases/etapas do workflow, SLA, os três itens de Envio de E-mail, percentual de bloqueio de orçamento, responsáveis por atividade, Controle Orçamentário e Período do Ano Fiscal.</w:t>
      </w:r>
    </w:p>
    <w:p>
      <w:pPr>
        <w:pStyle w:val="ListBullet"/>
      </w:pPr>
      <w:r>
        <w:t>Ferramentas de Dev — grupo próprio, exclusivo do PROPRIETÁRIO.</w:t>
      </w:r>
    </w:p>
    <w:p>
      <w:pPr>
        <w:pStyle w:val="ListBullet"/>
      </w:pPr>
      <w:r>
        <w:t>Proprietário — grupo que só aparece para quem tem o papel PROPRIETÁRIO; contém "Dados da Empresa Licenciada" (2.7) e o Licenciamento de Módulos (2.6).</w:t>
      </w:r>
    </w:p>
    <w:p>
      <w:pPr>
        <w:pStyle w:val="ListBullet"/>
      </w:pPr>
      <w:r>
        <w:t>Barra superior — visões consolidadas: Dashboard, Roadmap, Financeiro, Alertas de Orçamento, Cronograma &amp; Evolução e Consulta de Projetos.</w:t>
      </w:r>
    </w:p>
    <w:p>
      <w:r>
        <w:t>A tela de Detalhamento do Projeto não tem link fixo no menu — é acessada clicando no código de qualquer projeto no Dashboard, na Consulta de Projetos, no Cronograma ou em outras listagens (ver 12.10).</w:t>
      </w:r>
    </w:p>
    <w:p>
      <w:r>
        <w:t>A versão do sistema (ex.: "Versão 1.0.0 · Release 0") aparece no rodapé da tela de login, no rodapé do menu lateral e na tela inicial. É o número a citar em qualquer report de problema.</w:t>
      </w:r>
    </w:p>
    <w:p>
      <w:pPr>
        <w:pStyle w:val="Heading1"/>
      </w:pPr>
      <w:r>
        <w:t>2. Perfis de Acesso e Permissões</w:t>
      </w:r>
    </w:p>
    <w:p>
      <w:r>
        <w:t>O acesso ao sistema é controlado por atividade. Cada tela ou sub-aba relevante é uma "atividade" catalogada, e cada papel concede, por atividade, um subconjunto de quatro permissões independentes.</w:t>
      </w:r>
    </w:p>
    <w:p>
      <w:pPr>
        <w:pStyle w:val="Heading2"/>
      </w:pPr>
      <w:r>
        <w:t>2.1 Catálogo de Atividades</w:t>
      </w:r>
    </w:p>
    <w:p>
      <w:r>
        <w:t>Todas as telas e sub-abas estão organizadas em um catálogo com três níveis:</w:t>
      </w:r>
    </w:p>
    <w:p>
      <w:pPr>
        <w:pStyle w:val="ListBullet"/>
      </w:pPr>
      <w:r>
        <w:t>Grupo — o grande bloco do menu (ex.: "Business Case", "Perfis de Acesso").</w:t>
      </w:r>
    </w:p>
    <w:p>
      <w:pPr>
        <w:pStyle w:val="ListBullet"/>
      </w:pPr>
      <w:r>
        <w:t>Subgrupo — a tela específica dentro do grupo (ex.: "Formalizar Demanda").</w:t>
      </w:r>
    </w:p>
    <w:p>
      <w:pPr>
        <w:pStyle w:val="ListBullet"/>
      </w:pPr>
      <w:r>
        <w:t>Atividade — a sub-aba ou ação específica dentro da tela (ex.: "Cadastrar", "Cadastrados"). Quando a tela não tem sub-abas, a atividade é a tela inteira.</w:t>
      </w:r>
    </w:p>
    <w:p>
      <w:r>
        <w:t>Cada atividade do catálogo tem ainda um campo próprio de Restrição de Área (ver 2.5). O catálogo em si é fixo, definido pelo sistema.</w:t>
      </w:r>
    </w:p>
    <w:p>
      <w:pPr>
        <w:pStyle w:val="Heading2"/>
      </w:pPr>
      <w:r>
        <w:t>2.2 Papéis, Acesso Irrestrito e Proprietário</w:t>
      </w:r>
    </w:p>
    <w:p>
      <w:r>
        <w:t>Um papel concede acesso a um conjunto de atividades, marcadas no cadastro do papel (ver 13.2). Além disso:</w:t>
      </w:r>
    </w:p>
    <w:p>
      <w:pPr>
        <w:pStyle w:val="ListBullet"/>
      </w:pPr>
      <w:r>
        <w:t>Acesso Irrestrito — o papel ignora o catálogo por completo e enxerga o sistema inteiro, incluindo a restrição de área. O papel ADMINISTRADOR já nasce com essa marcação.</w:t>
      </w:r>
    </w:p>
    <w:p>
      <w:pPr>
        <w:pStyle w:val="ListBullet"/>
      </w:pPr>
      <w:r>
        <w:t>PROPRIETÁRIO — um nível acima do Administrador. Tudo o que o Administrador faz, o Proprietário também faz; e só o Proprietário enxerga o Licenciamento de Módulos (ver 2.6) e pode criar, marcar ou alterar a própria função de Proprietário. Marcar um papel como Proprietário implica automaticamente Acesso Irrestrito.</w:t>
      </w:r>
    </w:p>
    <w:p>
      <w:r>
        <w:t>"Ferramentas de Dev" é exclusivo do PROPRIETÁRIO — não basta ter Acesso Irrestrito nem ser Administrador, e não adianta a atividade estar marcada para outro papel. É a única tela com ações destrutivas (apagar dados de teste em massa), então fica no papel mais privilegiado; tanto a visibilidade do menu quanto cada ação dentro dela reconferem que o usuário é Proprietário.</w:t>
      </w:r>
    </w:p>
    <w:p>
      <w:pPr>
        <w:pStyle w:val="Heading2"/>
      </w:pPr>
      <w:r>
        <w:t>2.3 Permissões por atividade — Consultar, Incluir, Alterar, Deletar</w:t>
      </w:r>
    </w:p>
    <w:p>
      <w:r>
        <w:t>Cada atividade tem quatro caixas independentes no cadastro do papel:</w:t>
      </w:r>
    </w:p>
    <w:p>
      <w:pPr>
        <w:pStyle w:val="ListBullet"/>
      </w:pPr>
      <w:r>
        <w:t>Consultar — ver a tela/sub-aba. Vem marcada por padrão em toda atividade nova.</w:t>
      </w:r>
    </w:p>
    <w:p>
      <w:pPr>
        <w:pStyle w:val="ListBullet"/>
      </w:pPr>
      <w:r>
        <w:t>Incluir — usar os formulários de cadastro/criação daquela tela.</w:t>
      </w:r>
    </w:p>
    <w:p>
      <w:pPr>
        <w:pStyle w:val="ListBullet"/>
      </w:pPr>
      <w:r>
        <w:t>Alterar — editar registros existentes (inclusive ativar/inativar).</w:t>
      </w:r>
    </w:p>
    <w:p>
      <w:pPr>
        <w:pStyle w:val="ListBullet"/>
      </w:pPr>
      <w:r>
        <w:t>Deletar — excluir registros.</w:t>
      </w:r>
    </w:p>
    <w:p>
      <w:r>
        <w:t>Incluir, Alterar e Deletar vêm desmarcados por padrão. Marcar qualquer um deles implica também Consultar. Na prática, os botões "Novo", "Editar", "Excluir" e "Ativar/Inativar" só aparecem quando o verbo correspondente está concedido para aquela tela; sem eles, o usuário fica em modo somente-leitura.</w:t>
      </w:r>
    </w:p>
    <w:p>
      <w:r>
        <w:t>Nas telas de "Cadastrar / Cadastrados" (ver 14.1), os verbos valem pela tela como um todo: se o papel pode Incluir OU Alterar naquela tela, a aba "Cadastrar" aparece; senão, só a aba "Cadastrados".</w:t>
      </w:r>
    </w:p>
    <w:p>
      <w:pPr>
        <w:pStyle w:val="Heading2"/>
      </w:pPr>
      <w:r>
        <w:t>2.4 Visibilidade do menu e das sub-abas</w:t>
      </w:r>
    </w:p>
    <w:p>
      <w:r>
        <w:t>O menu lateral e a barra superior só mostram os itens para os quais o usuário tem pelo menos a permissão de Consultar (ou Acesso Irrestrito). Um grupo do menu cujos itens ficaram todos ocultos some por inteiro — não sobra o título vazio. Dentro de uma tela visível, os botões de cada sub-aba seguem a mesma regra, e se a sub-aba que o sistema abriria por padrão não for permitida, ele troca automaticamente para a primeira que o usuário pode ver.</w:t>
      </w:r>
    </w:p>
    <w:p>
      <w:pPr>
        <w:pStyle w:val="Heading2"/>
      </w:pPr>
      <w:r>
        <w:t>2.5 Restrição de Área</w:t>
      </w:r>
    </w:p>
    <w:p>
      <w:r>
        <w:t>Cada atividade do catálogo pode ser marcada como "Restrição de Área = Sim" (tela em 13.5). Quando marcada:</w:t>
      </w:r>
    </w:p>
    <w:p>
      <w:pPr>
        <w:pStyle w:val="ListBullet"/>
      </w:pPr>
      <w:r>
        <w:t>O usuário só vê e só pode alterar projetos da mesma área cadastrada no seu próprio perfil.</w:t>
      </w:r>
    </w:p>
    <w:p>
      <w:pPr>
        <w:pStyle w:val="ListBullet"/>
      </w:pPr>
      <w:r>
        <w:t>Usuários da área Tecnologia da Informação nunca sofrem essa restrição, em nenhuma atividade.</w:t>
      </w:r>
    </w:p>
    <w:p>
      <w:pPr>
        <w:pStyle w:val="ListBullet"/>
      </w:pPr>
      <w:r>
        <w:t>Quem tem Acesso Irrestrito também nunca sofre essa restrição.</w:t>
      </w:r>
    </w:p>
    <w:p>
      <w:pPr>
        <w:pStyle w:val="ListBullet"/>
      </w:pPr>
      <w:r>
        <w:t>Uma função marcada com "Ignora Restrição de Área" (13.2) também enxerga todas as áreas em qualquer atividade restrita — sem ganhar Acesso Irrestrito: continua limitada ao catálogo de atividades marcadas para ela normalmente. É a forma de dar esse privilégio a um papel específico (ex.: Governança, PMO) sem abrir o sistema inteiro para ele.</w:t>
      </w:r>
    </w:p>
    <w:p>
      <w:r>
        <w:t>Por padrão, toda atividade nasce com Restrição de Área = Não. Duas telas nunca respeitam essa restrição, mesmo se configurada: "Aprovar Orçamento Ano Fiscal" e "Aprovar Demanda Extraordinária" — são decisões que precisam enxergar o portfólio inteiro (ver Documento de Lacunas).</w:t>
      </w:r>
    </w:p>
    <w:p>
      <w:pPr>
        <w:pStyle w:val="Heading2"/>
      </w:pPr>
      <w:r>
        <w:t>2.6 Licenciamento de Módulos</w:t>
      </w:r>
    </w:p>
    <w:p>
      <w:r>
        <w:t>Onde: menu Proprietário &gt; Licenciamento de Módulos (só o Proprietário vê).</w:t>
      </w:r>
    </w:p>
    <w:p>
      <w:r>
        <w:t>O sistema é dividido em módulos — Workflow, E-mail, Financeiro e Planejamento Estratégico. Cada módulo tem um interruptor Ligado/Desligado. Um módulo desligado esconde todas as telas dele para todos os usuários, inclusive Administrador e Proprietário — não há exceção por papel. As telas de NÚCLEO ficam sempre disponíveis: login e perfis de acesso, cadastros base (Áreas, Produtos, Pessoas, Portes, Tipos, Cargos), Abertura e Período do Ano Fiscal, Dashboard e Consulta de Projetos, Licenciamento de Módulos e Ferramentas de Dev.</w:t>
      </w:r>
    </w:p>
    <w:p>
      <w:r>
        <w:t>O que cada módulo destrava está registrado numa tabela de configuração (tela → módulo), não mais fixo no código. O Workflow inclui toda a esteira de projetos — inclusive as aprovações do Business Case ("Aprovar Orçamento por Projeto" / Comitê e "Aprovar Orçamento Ano Fiscal"), a trava de variação de orçamento ("Percentual de Bloqueio de Orçamento" e "Mudança de Orçamento") e "Fases e Etapas do Workflow" / "SLA &amp; Prazos". Esses passos são obrigatórios do fluxo desenhado, então continuam disponíveis mesmo sem o Financeiro. O Financeiro cobre Contratos &amp; Terceiros, Visão de Orçamento, Alertas de Orçamento, e as funções de orçamento que não são passo do fluxo: Controle Orçamentário, Ajuste de Orçamento, Validação de Trade-off Extraordinário e Aprovar Demanda Extraordinária.</w:t>
      </w:r>
    </w:p>
    <w:p>
      <w:r>
        <w:t>Consequência prática: se uma tela de orçamento ou de e-mail "sumiu para todo mundo", o primeiro lugar a conferir é o Licenciamento de Módulos.</w:t>
      </w:r>
    </w:p>
    <w:p>
      <w:pPr>
        <w:pStyle w:val="Heading2"/>
      </w:pPr>
      <w:r>
        <w:t>2.7 Empresa Licenciada e Vigência da Licença</w:t>
      </w:r>
    </w:p>
    <w:p>
      <w:r>
        <w:t>Onde: menu Proprietário &gt; Dados da Empresa Licenciada (só o Proprietário vê e edita).</w:t>
      </w:r>
    </w:p>
    <w:p>
      <w:r>
        <w:t>Guarda a identidade da empresa que licenciou o Compasso e o período de validade da licença: CNPJ (validado), Razão Social, Nome Fantasia, Data de Aquisição, Início e Término da Vigência, "Nome para Cabeçalhos" (exibido em MAIÚSCULAS, na cor escolhida), Cor para Exibição e Logo (PNG ou SVG, até 2 MB). O sistema recusa salvar se o início da vigência não for anterior ao término, e avisa se a cor tiver baixo contraste com o cabeçalho.</w:t>
      </w:r>
    </w:p>
    <w:p>
      <w:r>
        <w:t>O nome (e a logo, se houver) aparecem na tela de login abaixo de "Cloud Governance", na tela inicial e no menu lateral, logo abaixo da marca Compasso.</w:t>
      </w:r>
    </w:p>
    <w:p>
      <w:r>
        <w:t>Enquanto a empresa e a vigência não estiverem cadastradas, o sistema abre numa tela de configuração bloqueante: o Proprietário preenche o formulário; os demais perfis só veem "Sistema em configuração, contate o Proprietário".</w:t>
      </w:r>
    </w:p>
    <w:p>
      <w:r>
        <w:t>A cada carregamento o sistema confere se a data de hoje está dentro da vigência. A partir de N dias antes do fim (30 por padrão, configurável) aparece um aviso amarelo no topo para Proprietário/Administrador. Vencida a vigência, o sistema mostra a tela "Licença Expirada" e não abre nenhuma outra tela — só o Proprietário vê o campo de "Código de Renovação". Toda verificação que nega acesso e toda tentativa de renovação ficam registradas.</w:t>
      </w:r>
    </w:p>
    <w:p>
      <w:r>
        <w:t>Renovação: o Proprietário solicita à Cognitionis (fora do sistema), recebe um código assinado, e cola no campo "Código de Renovação". Um serviço no servidor confere a assinatura e o CNPJ e, se conferir, estende automaticamente a Data de Término da Vigência. A chave de assinatura nunca fica no navegador.</w:t>
      </w:r>
    </w:p>
    <w:p>
      <w:pPr>
        <w:pStyle w:val="Heading2"/>
      </w:pPr>
      <w:r>
        <w:t>2.8 Como atribuir um papel a alguém</w:t>
      </w:r>
    </w:p>
    <w:p>
      <w:pPr>
        <w:pStyle w:val="ListBullet"/>
      </w:pPr>
      <w:r>
        <w:t>A pessoa precisa ter uma conta criada em Usuários (ver 13.1).</w:t>
      </w:r>
    </w:p>
    <w:p>
      <w:pPr>
        <w:pStyle w:val="ListBullet"/>
      </w:pPr>
      <w:r>
        <w:t>Um Administrador ou Proprietário acessa Perfis de Acesso &gt; Atribuição de Funções aos Usuários.</w:t>
      </w:r>
    </w:p>
    <w:p>
      <w:pPr>
        <w:pStyle w:val="ListBullet"/>
      </w:pPr>
      <w:r>
        <w:t>Marca os papéis desejados e salva. A função PROPRIETÁRIO só aparece nessa lista para quem já é Proprietário.</w:t>
      </w:r>
    </w:p>
    <w:p>
      <w:pPr>
        <w:pStyle w:val="ListBullet"/>
      </w:pPr>
      <w:r>
        <w:t>Se a própria pessoa logada tiver seus papéis alterados, os botões, sub-abas e grupos de menu disponíveis já se atualizam automaticamente.</w:t>
      </w:r>
    </w:p>
    <w:p>
      <w:pPr>
        <w:pStyle w:val="Heading2"/>
      </w:pPr>
      <w:r>
        <w:t>2.9 Segurança no banco de dados (RLS)</w:t>
      </w:r>
    </w:p>
    <w:p>
      <w:r>
        <w:t>As tabelas centrais do controle de acesso — funções, permissões por atividade, vínculos usuário-papel, catálogo de atividades e licenciamento de módulos — passaram a ter proteção no próprio banco de dados (Row Level Security): só quem tem Acesso Irrestrito ou é Proprietário consegue gravar nelas, e cada usuário só enxerga os próprios vínculos de função (o Administrador enxerga todos). O licenciamento de módulos só aceita gravação do Proprietário.</w:t>
      </w:r>
    </w:p>
    <w:p>
      <w:r>
        <w:t>As demais tabelas do sistema (projetos, etapas, contratos, etc.) ainda não têm essa proteção no banco — ver Documento de Lacunas.</w:t>
      </w:r>
    </w:p>
    <w:p>
      <w:pPr>
        <w:pStyle w:val="Heading1"/>
      </w:pPr>
      <w:r>
        <w:t>3. A Sequência do Workflow</w:t>
      </w:r>
    </w:p>
    <w:p>
      <w:r>
        <w:t>Todo projeto percorre a mesma sequência de fases. A ordem, os nomes e os gerentes responsáveis por cada fase são configuráveis em Administração &gt; Fases e Etapas do Workflow, sem alteração técnica.</w:t>
      </w:r>
    </w:p>
    <w:tbl>
      <w:tblPr>
        <w:tblStyle w:val="LightGrid-Accent1"/>
        <w:tblW w:type="auto" w:w="0"/>
        <w:tblLook w:firstColumn="1" w:firstRow="1" w:lastColumn="0" w:lastRow="0" w:noHBand="0" w:noVBand="1" w:val="04A0"/>
      </w:tblPr>
      <w:tblGrid>
        <w:gridCol w:w="4153"/>
        <w:gridCol w:w="4153"/>
      </w:tblGrid>
      <w:tr>
        <w:tc>
          <w:tcPr>
            <w:tcW w:type="dxa" w:w="4153"/>
          </w:tcPr>
          <w:p>
            <w:r>
              <w:rPr>
                <w:b/>
              </w:rPr>
              <w:t>Fase</w:t>
            </w:r>
          </w:p>
        </w:tc>
        <w:tc>
          <w:tcPr>
            <w:tcW w:type="dxa" w:w="4153"/>
          </w:tcPr>
          <w:p>
            <w:r>
              <w:rPr>
                <w:b/>
              </w:rPr>
              <w:t>Etapas (nesta ordem)</w:t>
            </w:r>
          </w:p>
        </w:tc>
      </w:tr>
      <w:tr>
        <w:tc>
          <w:tcPr>
            <w:tcW w:type="dxa" w:w="4153"/>
          </w:tcPr>
          <w:p>
            <w:r>
              <w:t>BUSINESS CASE</w:t>
            </w:r>
          </w:p>
        </w:tc>
        <w:tc>
          <w:tcPr>
            <w:tcW w:type="dxa" w:w="4153"/>
          </w:tcPr>
          <w:p>
            <w:r>
              <w:t>Formalizar Demanda → Orçamentar Demanda → Aprovar Orçamento por Projeto (Comitê) → Aprovar Orçamento Ano Fiscal</w:t>
            </w:r>
          </w:p>
        </w:tc>
      </w:tr>
      <w:tr>
        <w:tc>
          <w:tcPr>
            <w:tcW w:type="dxa" w:w="4153"/>
          </w:tcPr>
          <w:p>
            <w:r>
              <w:t>REQUERIMENTOS</w:t>
            </w:r>
          </w:p>
        </w:tc>
        <w:tc>
          <w:tcPr>
            <w:tcW w:type="dxa" w:w="4153"/>
          </w:tcPr>
          <w:p>
            <w:r>
              <w:t>Gerar Requerimentos → Avaliar Requerimentos (Negócio) → Avaliar Requerimentos (TI) → Concluir Etapa de Requerimentos</w:t>
            </w:r>
          </w:p>
        </w:tc>
      </w:tr>
      <w:tr>
        <w:tc>
          <w:tcPr>
            <w:tcW w:type="dxa" w:w="4153"/>
          </w:tcPr>
          <w:p>
            <w:r>
              <w:t>ESPECIFICAÇÃO</w:t>
            </w:r>
          </w:p>
        </w:tc>
        <w:tc>
          <w:tcPr>
            <w:tcW w:type="dxa" w:w="4153"/>
          </w:tcPr>
          <w:p>
            <w:r>
              <w:t>Gerar Especificação → Avaliar Especificação (Negócio) → Concluir Etapa de Especificação</w:t>
            </w:r>
          </w:p>
        </w:tc>
      </w:tr>
      <w:tr>
        <w:tc>
          <w:tcPr>
            <w:tcW w:type="dxa" w:w="4153"/>
          </w:tcPr>
          <w:p>
            <w:r>
              <w:t>EXECUÇÃO / UAT / GO-LIVE</w:t>
            </w:r>
          </w:p>
        </w:tc>
        <w:tc>
          <w:tcPr>
            <w:tcW w:type="dxa" w:w="4153"/>
          </w:tcPr>
          <w:p>
            <w:r>
              <w:t>Planejamento conjunto das 3 fases (na etapa de Execução) → evolução/conclusão de cada fase separadamente → Concluir Projeto/Subprojeto</w:t>
            </w:r>
          </w:p>
        </w:tc>
      </w:tr>
    </w:tbl>
    <w:p>
      <w:r>
        <w:t>Fora dessa sequência linear existem: o caminho Extraordinário (demanda urgente aprovada via trade-off, entra direto em Requerimentos — 5.6), o Fechamento de Ano Fiscal (decisão de Carryover, Hold ou Cancelamento dos projetos que não terminam dentro do ano; não muda a sequência do projeto — 4.2) e o Ajuste de Orçamento (autorização para mover orçamento entre áreas ou produtos diferentes — 4.3).</w:t>
      </w:r>
    </w:p>
    <w:p>
      <w:r>
        <w:t>Ao concluir 100% do Go-Live o projeto NÃO é encerrado automaticamente: fica com o status "Pendente de Termo de Aceite" e só passa para Conclusão pela tela "Concluir Projeto/Subprojeto", depois de o Termo de Aceite ter sido registrado (ver 8.4 e 8.7).</w:t>
      </w:r>
    </w:p>
    <w:p>
      <w:pPr>
        <w:pStyle w:val="Heading1"/>
      </w:pPr>
      <w:r>
        <w:t>4. Ano Fiscal</w:t>
      </w:r>
    </w:p>
    <w:p>
      <w:r>
        <w:t>O sistema trabalha sempre com dois Anos Fiscais ao mesmo tempo: o AF em andamento e o AF seguinte (o "pipeline", onde ficam as demandas que ainda estão em Business Case). A configuração de Anos Fiscais é que alimenta os seletores de Ano Fiscal do Dashboard, Roadmap, Financeiro e Consulta de Projetos (ver 12.1) — não a data do dia.</w:t>
      </w:r>
    </w:p>
    <w:p>
      <w:pPr>
        <w:pStyle w:val="Heading2"/>
      </w:pPr>
      <w:r>
        <w:t>4.1 Abertura Ano Fiscal</w:t>
      </w:r>
    </w:p>
    <w:p>
      <w:r>
        <w:t>Onde: Ano Fiscal &gt; Abertura Ano Fiscal.</w:t>
      </w:r>
    </w:p>
    <w:p>
      <w:r>
        <w:t>Mostra o Ano Fiscal e o trimestre correntes, um cartão com o "Ano Fiscal em Andamento", e permite abrir o recebimento de demandas para o próximo Ano Fiscal. Para abrir o próximo AF, três condições precisam estar satisfeitas ao mesmo tempo:</w:t>
      </w:r>
    </w:p>
    <w:p>
      <w:pPr>
        <w:pStyle w:val="ListBullet"/>
      </w:pPr>
      <w:r>
        <w:t>o AF corrente já está com o orçamento fechado (5.5);</w:t>
      </w:r>
    </w:p>
    <w:p>
      <w:pPr>
        <w:pStyle w:val="ListBullet"/>
      </w:pPr>
      <w:r>
        <w:t>o AF anterior ao corrente já está formalmente FECHADO (Fechamento de Ano Fiscal — 4.2);</w:t>
      </w:r>
    </w:p>
    <w:p>
      <w:pPr>
        <w:pStyle w:val="ListBullet"/>
      </w:pPr>
      <w:r>
        <w:t>o próximo AF ainda não foi aberto.</w:t>
      </w:r>
    </w:p>
    <w:p>
      <w:r>
        <w:t>A tela também exibe o status de fechamento do orçamento e o status de fechamento formal de cada um desses anos (quem fechou e quando).</w:t>
      </w:r>
    </w:p>
    <w:p>
      <w:r>
        <w:t>Quando a base ainda não tem nenhum Ano Fiscal configurado (instalação nova, ou logo após uma limpeza total de base), a tela mostra "Ano Fiscal ainda não inicializado" e oferece um botão para inicializar o Ano Fiscal corrente já aberto para demandas — sem isso, nenhuma tela que depende de Ano Fiscal (Formalizar Demanda, Planejamento Estratégico, etc.) teria o que listar.</w:t>
      </w:r>
    </w:p>
    <w:p>
      <w:pPr>
        <w:pStyle w:val="Heading2"/>
      </w:pPr>
      <w:r>
        <w:t>4.2 Fechamento Ano Fiscal</w:t>
      </w:r>
    </w:p>
    <w:p>
      <w:r>
        <w:t>Onde: Ano Fiscal &gt; Fechamento Ano Fiscal. Substitui a antiga tela "Projetos Carry Over" — todas as ações de Carryover passaram para cá. Podem registrar decisões e fechar o ano: Governança, Gestor de TI e sempre Administrador / Proprietário; os demais perfis só consultam.</w:t>
      </w:r>
    </w:p>
    <w:p>
      <w:r>
        <w:t>Qual Ano Fiscal a tela trata (o "AF alvo", que está sendo encerrado): quando o trimestre corrente é o Q4, é o próprio Ano Fiscal em curso; nos trimestres Q1, Q2 ou Q3, é sempre o Ano Fiscal anterior ao em curso. O AF alvo aparece no topo da tela.</w:t>
      </w:r>
    </w:p>
    <w:p>
      <w:r>
        <w:t>A tela tem duas abas:</w:t>
      </w:r>
    </w:p>
    <w:p>
      <w:pPr>
        <w:pStyle w:val="Heading2"/>
      </w:pPr>
      <w:r>
        <w:t>4.2.1 Aba "Avaliação e Fechamento Ano Fiscal"</w:t>
      </w:r>
    </w:p>
    <w:p>
      <w:r>
        <w:t>Visão consolidada do resultado do AF alvo (contagem de projetos por situação, orçamento por fase e o mesmo Quadro de Orçamento do Dashboard — ver 12.3), com o seletor de agrupamento por Área/Produto (12.2). No topo fica o botão "Fechar Ano Fiscal [AF]".</w:t>
      </w:r>
    </w:p>
    <w:p>
      <w:r>
        <w:t>Fechar o Ano Fiscal abre uma confirmação com uma caixa de comentário; ao confirmar, o sistema grava que o AF foi fechado (quem, quando e o comentário) e registra um log formal. O fechamento formal do Ano Fiscal é DIFERENTE do fechamento do orçamento (5.5): são dois marcos independentes.</w:t>
      </w:r>
    </w:p>
    <w:p>
      <w:r>
        <w:t>O botão só fica habilitado quando NENHUM projeto do AF alvo ainda está "em andamento" — todos precisam ter sido colocados em Carryover Desenvolvimento, Carryover Hold ou Cancelado na aba ao lado. Enquanto houver pendência, a tela mostra "EXISTEM PROJETOS EM ANDAMENTO. TRATE TODOS NA ABA DE AVALIAÇÃO".</w:t>
      </w:r>
    </w:p>
    <w:p>
      <w:r>
        <w:t>O fechamento do Ano Fiscal NÃO altera nada nos projetos — não move orçamento, não muda fase nem status. Ele só grava o marco, o log, e passa a ser exigido para abrir o próximo AF (4.1).</w:t>
      </w:r>
    </w:p>
    <w:p>
      <w:pPr>
        <w:pStyle w:val="Heading2"/>
      </w:pPr>
      <w:r>
        <w:t>4.2.2 Aba "Avaliação Projetos Fechamento Ano Fiscal"</w:t>
      </w:r>
    </w:p>
    <w:p>
      <w:r>
        <w:t>Lista os projetos do AF alvo que ainda não terminaram (fora subprojetos, concluídos, cancelados e reprovados), com orçamento atual, realizado, saldo remanescente (calculado automaticamente: orçamento mais recente menos o realizado) e a decisão atual de cada um. O pool de Carryover para o próximo AF aparece num cartão no topo. Cada projeto oferece quatro ações:</w:t>
      </w:r>
    </w:p>
    <w:tbl>
      <w:tblPr>
        <w:tblStyle w:val="LightGrid-Accent1"/>
        <w:tblW w:type="auto" w:w="0"/>
        <w:tblLook w:firstColumn="1" w:firstRow="1" w:lastColumn="0" w:lastRow="0" w:noHBand="0" w:noVBand="1" w:val="04A0"/>
      </w:tblPr>
      <w:tblGrid>
        <w:gridCol w:w="4153"/>
        <w:gridCol w:w="4153"/>
      </w:tblGrid>
      <w:tr>
        <w:tc>
          <w:tcPr>
            <w:tcW w:type="dxa" w:w="4153"/>
          </w:tcPr>
          <w:p>
            <w:r>
              <w:rPr>
                <w:b/>
              </w:rPr>
              <w:t>Ação</w:t>
            </w:r>
          </w:p>
        </w:tc>
        <w:tc>
          <w:tcPr>
            <w:tcW w:type="dxa" w:w="4153"/>
          </w:tcPr>
          <w:p>
            <w:r>
              <w:rPr>
                <w:b/>
              </w:rPr>
              <w:t>O que faz</w:t>
            </w:r>
          </w:p>
        </w:tc>
      </w:tr>
      <w:tr>
        <w:tc>
          <w:tcPr>
            <w:tcW w:type="dxa" w:w="4153"/>
          </w:tcPr>
          <w:p>
            <w:r>
              <w:t>Carryover Desenvolvimento</w:t>
            </w:r>
          </w:p>
        </w:tc>
        <w:tc>
          <w:tcPr>
            <w:tcW w:type="dxa" w:w="4153"/>
          </w:tcPr>
          <w:p>
            <w:r>
              <w:t>Marca o projeto como Carryover (o saldo remanescente entra no pool do próximo AF). O projeto segue em andamento — só passa a ser "projeto do ano que vem".</w:t>
            </w:r>
          </w:p>
        </w:tc>
      </w:tr>
      <w:tr>
        <w:tc>
          <w:tcPr>
            <w:tcW w:type="dxa" w:w="4153"/>
          </w:tcPr>
          <w:p>
            <w:r>
              <w:t>Carryover Hold</w:t>
            </w:r>
          </w:p>
        </w:tc>
        <w:tc>
          <w:tcPr>
            <w:tcW w:type="dxa" w:w="4153"/>
          </w:tcPr>
          <w:p>
            <w:r>
              <w:t>Marca como Carryover e além disso coloca o projeto em Hold (status "HOLD", guardando o status anterior). Também entra no pool do próximo AF; sai das telas operacionais e passa a aparecer em Governança &gt; Retomar Projetos em Hold.</w:t>
            </w:r>
          </w:p>
        </w:tc>
      </w:tr>
      <w:tr>
        <w:tc>
          <w:tcPr>
            <w:tcW w:type="dxa" w:w="4153"/>
          </w:tcPr>
          <w:p>
            <w:r>
              <w:t>Cancelar</w:t>
            </w:r>
          </w:p>
        </w:tc>
        <w:tc>
          <w:tcPr>
            <w:tcW w:type="dxa" w:w="4153"/>
          </w:tcPr>
          <w:p>
            <w:r>
              <w:t>Cancela o projeto (status "CANCELADO"), pedindo o motivo. Se era Carryover, a marcação de carryover é desfeita.</w:t>
            </w:r>
          </w:p>
        </w:tc>
      </w:tr>
      <w:tr>
        <w:tc>
          <w:tcPr>
            <w:tcW w:type="dxa" w:w="4153"/>
          </w:tcPr>
          <w:p>
            <w:r>
              <w:t>Reverter</w:t>
            </w:r>
          </w:p>
        </w:tc>
        <w:tc>
          <w:tcPr>
            <w:tcW w:type="dxa" w:w="4153"/>
          </w:tcPr>
          <w:p>
            <w:r>
              <w:t>Desfaz a última decisão registrada para o projeto (tira o Carryover, sai do Hold ou do Cancelamento) e devolve o projeto ao status em que estava.</w:t>
            </w:r>
          </w:p>
        </w:tc>
      </w:tr>
    </w:tbl>
    <w:p>
      <w:r>
        <w:t>Toda decisão fica registrada em log próprio (decisão, valor remanescente, quem decidiu e quando), visível no Detalhamento do Projeto (seção "Decisões de Fechamento" — ver 12.10). Para Carryover (Desenvolvimento ou Hold), o sistema reconfere a elegibilidade — entre outras coisas, o próximo Ano Fiscal precisa já existir na configuração.</w:t>
      </w:r>
    </w:p>
    <w:p>
      <w:r>
        <w:t>Integridade de subgrupo: quando o Dashboard/Financeiro está agrupando por Área ou por Produto, uma operação que use outro projeto como origem/compensação de orçamento só é aceita se os dois projetos estiverem no mesmo subgrupo (mesma Área ou mesmo Produto). Para cruzar subgrupos é preciso registrar antes uma autorização em Ajuste de Orçamento (4.3).</w:t>
      </w:r>
    </w:p>
    <w:p>
      <w:pPr>
        <w:pStyle w:val="Heading2"/>
      </w:pPr>
      <w:r>
        <w:t>4.3 Ajuste de Orçamento</w:t>
      </w:r>
    </w:p>
    <w:p>
      <w:r>
        <w:t>Onde: Ano Fiscal &gt; Ajuste de Orçamento. Acesso restrito ao Proprietário, ao Administrador ou a quem tiver a atividade "Ajuste de Orçamento" concedida.</w:t>
      </w:r>
    </w:p>
    <w:p>
      <w:r>
        <w:t>Serve para registrar formalmente uma autorização especial para mover orçamento entre subgrupos diferentes (áreas ou produtos distintos) nos processos de Carryover e Demanda Extraordinária. Cada registro guarda: tipo de processo (Carryover ou Extraordinária), agrupamento (Área ou Produto), projeto de origem, projeto de destino, valor, justificativa, quem autorizou e quando. A tela também mostra o relatório de todas as autorizações registradas.</w:t>
      </w:r>
    </w:p>
    <w:p>
      <w:r>
        <w:t>Esta tela continua existindo como registro de autorizações; a validação dos trade-offs que cruzam subgrupo passou a ser feita na tela nova descrita em 4.4.</w:t>
      </w:r>
    </w:p>
    <w:p>
      <w:pPr>
        <w:pStyle w:val="Heading2"/>
      </w:pPr>
      <w:r>
        <w:t>4.4 Validação de Trade-off Extraordinário</w:t>
      </w:r>
    </w:p>
    <w:p>
      <w:r>
        <w:t>Onde: Ano Fiscal &gt; Validação de Trade-off Extraordinário. Consultam todos que têm a atividade; decidem (Aprovar/Rejeitar) GOVERNANÇA, Gestor de TI e sempre Administrador / Proprietário.</w:t>
      </w:r>
    </w:p>
    <w:p>
      <w:r>
        <w:t>Quando o parâmetro "Controle Orçamentário" (15.9) está em Área ou Produto e uma simulação de trade-off da Demanda Extraordinária (5.6) inclui projetos de outro subgrupo, a aprovação naquela tela não aplica os efeitos na hora — cria uma pendência aqui. Nada muda nos projetos e a demanda Extraordinária continua em Business Case até a decisão nesta tela.</w:t>
      </w:r>
    </w:p>
    <w:p>
      <w:r>
        <w:t>Cada pendência mostra o projeto Extraordinário, o modo de controle, o valor e a situação do AF resultante. O botão "Detalhar" abre a lista dos projetos do trade-off (com a ação de cada um e um selo "FORA" para os de outro subgrupo) e três painéis de situação orçamentária (orçado / realizado / saldo): do Ano Fiscal inteiro, do subgrupo do projeto Extraordinário, e por subgrupo envolvido no trade-off.</w:t>
      </w:r>
    </w:p>
    <w:tbl>
      <w:tblPr>
        <w:tblStyle w:val="LightGrid-Accent1"/>
        <w:tblW w:type="auto" w:w="0"/>
        <w:tblLook w:firstColumn="1" w:firstRow="1" w:lastColumn="0" w:lastRow="0" w:noHBand="0" w:noVBand="1" w:val="04A0"/>
      </w:tblPr>
      <w:tblGrid>
        <w:gridCol w:w="4153"/>
        <w:gridCol w:w="4153"/>
      </w:tblGrid>
      <w:tr>
        <w:tc>
          <w:tcPr>
            <w:tcW w:type="dxa" w:w="4153"/>
          </w:tcPr>
          <w:p>
            <w:r>
              <w:rPr>
                <w:b/>
              </w:rPr>
              <w:t>Ação</w:t>
            </w:r>
          </w:p>
        </w:tc>
        <w:tc>
          <w:tcPr>
            <w:tcW w:type="dxa" w:w="4153"/>
          </w:tcPr>
          <w:p>
            <w:r>
              <w:rPr>
                <w:b/>
              </w:rPr>
              <w:t>O que acontece</w:t>
            </w:r>
          </w:p>
        </w:tc>
      </w:tr>
      <w:tr>
        <w:tc>
          <w:tcPr>
            <w:tcW w:type="dxa" w:w="4153"/>
          </w:tcPr>
          <w:p>
            <w:r>
              <w:t>Aprovar</w:t>
            </w:r>
          </w:p>
        </w:tc>
        <w:tc>
          <w:tcPr>
            <w:tcW w:type="dxa" w:w="4153"/>
          </w:tcPr>
          <w:p>
            <w:r>
              <w:t>Exige um motivo. Aplica os trade-offs (Hold / Cancelar / Ceder Parte), promove a demanda Extraordinária para Requerimentos e registra a decisão (quem, quando, motivo).</w:t>
            </w:r>
          </w:p>
        </w:tc>
      </w:tr>
      <w:tr>
        <w:tc>
          <w:tcPr>
            <w:tcW w:type="dxa" w:w="4153"/>
          </w:tcPr>
          <w:p>
            <w:r>
              <w:t>Rejeitar</w:t>
            </w:r>
          </w:p>
        </w:tc>
        <w:tc>
          <w:tcPr>
            <w:tcW w:type="dxa" w:w="4153"/>
          </w:tcPr>
          <w:p>
            <w:r>
              <w:t>Exige um motivo. Descarta a simulação — nada é aplicado aos projetos; a demanda Extraordinária permanece em Business Case para uma nova simulação.</w:t>
            </w:r>
          </w:p>
        </w:tc>
      </w:tr>
    </w:tbl>
    <w:p>
      <w:pPr>
        <w:pStyle w:val="Heading1"/>
      </w:pPr>
      <w:r>
        <w:t>5. Business Case</w:t>
      </w:r>
    </w:p>
    <w:p>
      <w:pPr>
        <w:pStyle w:val="Heading2"/>
      </w:pPr>
      <w:r>
        <w:t>5.1 Formalizar Demanda</w:t>
      </w:r>
    </w:p>
    <w:p>
      <w:r>
        <w:t>Onde: Business Case &gt; Formalizar Demanda. Ponto de entrada de qualquer demanda nova.</w:t>
      </w:r>
    </w:p>
    <w:p>
      <w:r>
        <w:t>O primeiro campo é o Ano Fiscal da demanda, um select montado a partir da configuração de Anos Fiscais (4), com até duas opções:</w:t>
      </w:r>
    </w:p>
    <w:p>
      <w:pPr>
        <w:pStyle w:val="ListBullet"/>
      </w:pPr>
      <w:r>
        <w:t>o Ano Fiscal em orçamentação (o "pipeline", ainda com o orçamento aberto) — recebe demanda NORMAL;</w:t>
      </w:r>
    </w:p>
    <w:p>
      <w:pPr>
        <w:pStyle w:val="ListBullet"/>
      </w:pPr>
      <w:r>
        <w:t>o Ano Fiscal em andamento (orçamento já fechado e o ano ainda não encerrado formalmente) — recebe apenas Demanda EXTRAORDINÁRIA: ao escolhê-lo, aparece o aviso e a confirmação Sim/Não, e os campos só liberam após o "Sim". Um Ano Fiscal já encerrado (Fechamento Ano Fiscal — 4.2) não aparece.</w:t>
      </w:r>
    </w:p>
    <w:p>
      <w:r>
        <w:t>Se nenhum dos dois existir no momento, o select mostra "Nenhum AF disponível".</w:t>
      </w:r>
    </w:p>
    <w:p>
      <w:r>
        <w:t>Os campos são preenchidos nesta ordem: Data da Solicitação; Código (gerado automaticamente ao salvar) e Nome do Projeto; Objetivo; Produto; Área Solicitante; Pessoa Solicitante / Responsável; Tipo de Projeto; Qualificação da Demanda; associação (Sim/Não) a Pilar / Iniciativa Estratégica; Key Results; o quadro de Benefit Results (Retorno/Benefício, Métrica NPV/ROI quando o tipo permitir, Valor); e a Descrição Sucinta do Projeto.</w:t>
      </w:r>
    </w:p>
    <w:p>
      <w:r>
        <w:t>São obrigatórios: Nome, Objetivo, Produto, Área, Pessoa Solicitante, Tipo de Projeto, Qualificação, Key Results, pelo menos um Benefit Result e a Descrição Sucinta. O Produto "Não Classificado" não é escolhível — ele só existe como valor histórico dos projetos migrados. Se a demanda estiver associada a um Pilar, o Pilar e (quando houver) a Iniciativa também são obrigatórios.</w:t>
      </w:r>
    </w:p>
    <w:p>
      <w:r>
        <w:t>Uma demanda pode ser cancelada a qualquer momento nesta fase, exigindo responsável, data e motivo — o histórico fica em aba própria.</w:t>
      </w:r>
    </w:p>
    <w:p>
      <w:pPr>
        <w:pStyle w:val="Heading2"/>
      </w:pPr>
      <w:r>
        <w:t>5.2 Detalhe da Demanda</w:t>
      </w:r>
    </w:p>
    <w:p>
      <w:r>
        <w:t>Acessado clicando no código de um projeto na lista de Demandas Formalizadas. Enquanto a demanda ainda está "A Planejar", permite editar os dados diretamente; depois de avançar, a descrição original vira somente leitura e ganha um campo de "Informações Adicionais".</w:t>
      </w:r>
    </w:p>
    <w:p>
      <w:pPr>
        <w:pStyle w:val="Heading2"/>
      </w:pPr>
      <w:r>
        <w:t>5.3 Orçamentar Demanda</w:t>
      </w:r>
    </w:p>
    <w:p>
      <w:r>
        <w:t>Onde: Business Case &gt; Orçamentar Demanda. Ao levar a evolução a 100%, o sistema pede classificação financeira (CAPEX/OPEX), valor orçado e a quantidade de horas — o porte é calculado automaticamente a partir das horas. Ao concluir, o projeto passa a "Orçamento Realizado", pronto para o Comitê.</w:t>
      </w:r>
    </w:p>
    <w:p>
      <w:pPr>
        <w:pStyle w:val="Heading2"/>
      </w:pPr>
      <w:r>
        <w:t>5.4 Aprovar Orçamento por Projeto (Comitê)</w:t>
      </w:r>
    </w:p>
    <w:p>
      <w:r>
        <w:t>Onde: Business Case &gt; Aprovar Orçamento por Projeto.</w:t>
      </w:r>
    </w:p>
    <w:tbl>
      <w:tblPr>
        <w:tblStyle w:val="LightGrid-Accent1"/>
        <w:tblW w:type="auto" w:w="0"/>
        <w:tblLook w:firstColumn="1" w:firstRow="1" w:lastColumn="0" w:lastRow="0" w:noHBand="0" w:noVBand="1" w:val="04A0"/>
      </w:tblPr>
      <w:tblGrid>
        <w:gridCol w:w="4153"/>
        <w:gridCol w:w="4153"/>
      </w:tblGrid>
      <w:tr>
        <w:tc>
          <w:tcPr>
            <w:tcW w:type="dxa" w:w="4153"/>
          </w:tcPr>
          <w:p>
            <w:r>
              <w:rPr>
                <w:b/>
              </w:rPr>
              <w:t>Ação</w:t>
            </w:r>
          </w:p>
        </w:tc>
        <w:tc>
          <w:tcPr>
            <w:tcW w:type="dxa" w:w="4153"/>
          </w:tcPr>
          <w:p>
            <w:r>
              <w:rPr>
                <w:b/>
              </w:rPr>
              <w:t>O que acontece</w:t>
            </w:r>
          </w:p>
        </w:tc>
      </w:tr>
      <w:tr>
        <w:tc>
          <w:tcPr>
            <w:tcW w:type="dxa" w:w="4153"/>
          </w:tcPr>
          <w:p>
            <w:r>
              <w:t>Aprovar</w:t>
            </w:r>
          </w:p>
        </w:tc>
        <w:tc>
          <w:tcPr>
            <w:tcW w:type="dxa" w:w="4153"/>
          </w:tcPr>
          <w:p>
            <w:r>
              <w:t>Pede data de aprovação, data do comitê e nome do aprovador. Projeto segue para Aprovar Orçamento Ano Fiscal.</w:t>
            </w:r>
          </w:p>
        </w:tc>
      </w:tr>
      <w:tr>
        <w:tc>
          <w:tcPr>
            <w:tcW w:type="dxa" w:w="4153"/>
          </w:tcPr>
          <w:p>
            <w:r>
              <w:t>Reprovar</w:t>
            </w:r>
          </w:p>
        </w:tc>
        <w:tc>
          <w:tcPr>
            <w:tcW w:type="dxa" w:w="4153"/>
          </w:tcPr>
          <w:p>
            <w:r>
              <w:t>Pede os mesmos dados mais uma observação — o motivo fica registrado. Projeto é marcado Reprovado.</w:t>
            </w:r>
          </w:p>
        </w:tc>
      </w:tr>
      <w:tr>
        <w:tc>
          <w:tcPr>
            <w:tcW w:type="dxa" w:w="4153"/>
          </w:tcPr>
          <w:p>
            <w:r>
              <w:t>Reavaliar</w:t>
            </w:r>
          </w:p>
        </w:tc>
        <w:tc>
          <w:tcPr>
            <w:tcW w:type="dxa" w:w="4153"/>
          </w:tcPr>
          <w:p>
            <w:r>
              <w:t>Devolve a etapa "Orçamentar Demanda" para 99% e o projeto para "Planejado" — exige motivo no campo Observação.</w:t>
            </w:r>
          </w:p>
        </w:tc>
      </w:tr>
    </w:tbl>
    <w:p>
      <w:r>
        <w:t>Esta fila é só para demandas normais do Ano Fiscal corrente. Demandas Carryover e Extraordinárias não aparecem aqui — têm processos exclusivos (4.2 e 5.6).</w:t>
      </w:r>
    </w:p>
    <w:p>
      <w:pPr>
        <w:pStyle w:val="Heading2"/>
      </w:pPr>
      <w:r>
        <w:t>5.5 Aprovar Orçamento Ano Fiscal</w:t>
      </w:r>
    </w:p>
    <w:p>
      <w:r>
        <w:t>Onde: Business Case &gt; Aprovar Orçamento Ano Fiscal.</w:t>
      </w:r>
    </w:p>
    <w:p>
      <w:r>
        <w:t>Fechamento formal do orçamento anual — consolida os projetos aprovados em Comitê (exceto Extraordinário e Carryover) e mostra quantidade e valor total, em CAPEX/OPEX. Só é possível fechar se não houver projeto do AF pendente de decisão do Comitê. Ao confirmar, os projetos avançam para Requerimentos, o recebimento de demandas normais é encerrado e o sistema grava um log formal (quem fechou, quando, valor e quantidade).</w:t>
      </w:r>
    </w:p>
    <w:p>
      <w:pPr>
        <w:pStyle w:val="Heading2"/>
      </w:pPr>
      <w:r>
        <w:t>5.6 Aprovar Demanda Extraordinária</w:t>
      </w:r>
    </w:p>
    <w:p>
      <w:r>
        <w:t>Onde: Business Case &gt; Aprovar Demanda Extraordinária.</w:t>
      </w:r>
    </w:p>
    <w:p>
      <w:r>
        <w:t>Fluxo de trade-off para demandas urgentes fora do ciclo normal — o usuário escolhe uma demanda Extraordinária pendente e decide, projeto a projeto do portfólio ativo, uma ação: Manter, Hold, Cancelar ou Ceder Parte do Saldo. A aprovação só é liberada quando a situação final do AF fica dentro do orçamento original. Ao aprovar, a demanda Extraordinária vai direto para Requerimentos.</w:t>
      </w:r>
    </w:p>
    <w:p>
      <w:r>
        <w:t>A demanda Extraordinária chega a esta tela assim que a etapa "Orçamentar Demanda" é concluída (100%) — ela NÃO passa pelo Comitê nem pelo fechamento do orçamento do AF. A tela trabalha sobre o Ano Fiscal em andamento (o que já tem o orçamento fechado), que é o AF ao qual as Demandas Extraordinárias pertencem.</w:t>
      </w:r>
    </w:p>
    <w:p>
      <w:r>
        <w:t>Projetos já concluídos não aparecem como candidatos. A lista de projetos elegíveis ao trade-off segue o parâmetro "Controle Orçamentário" (Administração — 15.9): no modo Ano Fiscal (padrão), todos os projetos do AF; no modo Área, só os da mesma área do projeto Extraordinário; no modo Produto, só os do mesmo produto. A tabela separa "Mesmo &lt;área/produto&gt;" de "Outro &lt;área/produto&gt;".</w:t>
      </w:r>
    </w:p>
    <w:p>
      <w:r>
        <w:t>É permitido escolher ações em projetos de outro subgrupo. Nesse caso, ao aprovar (com a simulação já dentro do orçamento), a rodada NÃO é aplicada na hora: vai para a fila de "Validação de Trade-off Extraordinário" (Ano Fiscal — 4.4). Um trade-off 100% dentro do subgrupo (ou com o modo em Ano Fiscal) é aprovado direto e a demanda Extraordinária segue para Requerimentos, como antes.</w:t>
      </w:r>
    </w:p>
    <w:p>
      <w:pPr>
        <w:pStyle w:val="Heading1"/>
      </w:pPr>
      <w:r>
        <w:t>6. Requerimentos</w:t>
      </w:r>
    </w:p>
    <w:p>
      <w:r>
        <w:t>4 etapas sequenciais: Gerar Requerimentos; Avaliar Requerimentos – Negócio (decisão Aprovado/Reprovado); Avaliar Requerimentos – TI (decisão Aprovado/Reprovado); Concluir Etapa de Requerimentos (revisão de horas/valor, porte recalculado, alerta de variação acima de 30% vermelho / 10-30% amarelo).</w:t>
      </w:r>
    </w:p>
    <w:p>
      <w:r>
        <w:t>Se qualquer avaliação for Reprovada: a decisão fica registrada em auditoria, o planejamento de TODAS as etapas de Requerimentos é apagado, e o projeto volta para "A Planejar - Em Revisão" com um selo de reprovação.</w:t>
      </w:r>
    </w:p>
    <w:p>
      <w:pPr>
        <w:pStyle w:val="Heading1"/>
      </w:pPr>
      <w:r>
        <w:t>7. Especificação</w:t>
      </w:r>
    </w:p>
    <w:p>
      <w:r>
        <w:t>Antiga fase "Technical". Etapas: Gerar Especificação (planejamento padrão); Avaliar Especificação – Negócio (única decisão desta fase); Concluir Etapa de Especificação (mesma lógica de revisão de horas/valor e alerta de variação, comparando com Requerimentos). A reprovação segue o mesmo mecanismo de reset da fase de Requerimentos.</w:t>
      </w:r>
    </w:p>
    <w:p>
      <w:pPr>
        <w:pStyle w:val="Heading1"/>
      </w:pPr>
      <w:r>
        <w:t>8. Execução, UAT e Go-Live</w:t>
      </w:r>
    </w:p>
    <w:p>
      <w:pPr>
        <w:pStyle w:val="Heading2"/>
      </w:pPr>
      <w:r>
        <w:t>8.1 Planejamento conjunto (Planejar Execução)</w:t>
      </w:r>
    </w:p>
    <w:p>
      <w:r>
        <w:t>Ao chegar em Execução, o sistema abre um único modal para planejar as 3 fases seguintes de uma vez: Execução, UAT e Go-Live — cada uma com seu próprio responsável e datas. Ao confirmar, as 3 etapas já nascem planejadas.</w:t>
      </w:r>
    </w:p>
    <w:p>
      <w:pPr>
        <w:pStyle w:val="Heading2"/>
      </w:pPr>
      <w:r>
        <w:t>8.2 Sub-abas de cada fase</w:t>
      </w:r>
    </w:p>
    <w:p>
      <w:r>
        <w:t>Execução, UAT e Go-Live separam cada atividade em sub-abas próprias, cada uma com seu próprio controle de acesso:</w:t>
      </w:r>
    </w:p>
    <w:tbl>
      <w:tblPr>
        <w:tblStyle w:val="LightGrid-Accent1"/>
        <w:tblW w:type="auto" w:w="0"/>
        <w:tblLook w:firstColumn="1" w:firstRow="1" w:lastColumn="0" w:lastRow="0" w:noHBand="0" w:noVBand="1" w:val="04A0"/>
      </w:tblPr>
      <w:tblGrid>
        <w:gridCol w:w="4153"/>
        <w:gridCol w:w="4153"/>
      </w:tblGrid>
      <w:tr>
        <w:tc>
          <w:tcPr>
            <w:tcW w:type="dxa" w:w="4153"/>
          </w:tcPr>
          <w:p>
            <w:r>
              <w:rPr>
                <w:b/>
              </w:rPr>
              <w:t>Fase</w:t>
            </w:r>
          </w:p>
        </w:tc>
        <w:tc>
          <w:tcPr>
            <w:tcW w:type="dxa" w:w="4153"/>
          </w:tcPr>
          <w:p>
            <w:r>
              <w:rPr>
                <w:b/>
              </w:rPr>
              <w:t>Sub-abas</w:t>
            </w:r>
          </w:p>
        </w:tc>
      </w:tr>
      <w:tr>
        <w:tc>
          <w:tcPr>
            <w:tcW w:type="dxa" w:w="4153"/>
          </w:tcPr>
          <w:p>
            <w:r>
              <w:t>Execução</w:t>
            </w:r>
          </w:p>
        </w:tc>
        <w:tc>
          <w:tcPr>
            <w:tcW w:type="dxa" w:w="4153"/>
          </w:tcPr>
          <w:p>
            <w:r>
              <w:t>Projetos a Planejar · Projetos em Andamento · Subprojetos</w:t>
            </w:r>
          </w:p>
        </w:tc>
      </w:tr>
      <w:tr>
        <w:tc>
          <w:tcPr>
            <w:tcW w:type="dxa" w:w="4153"/>
          </w:tcPr>
          <w:p>
            <w:r>
              <w:t>UAT</w:t>
            </w:r>
          </w:p>
        </w:tc>
        <w:tc>
          <w:tcPr>
            <w:tcW w:type="dxa" w:w="4153"/>
          </w:tcPr>
          <w:p>
            <w:r>
              <w:t>Retificar/Ratificar Planejamento · Projetos em Andamento</w:t>
            </w:r>
          </w:p>
        </w:tc>
      </w:tr>
      <w:tr>
        <w:tc>
          <w:tcPr>
            <w:tcW w:type="dxa" w:w="4153"/>
          </w:tcPr>
          <w:p>
            <w:r>
              <w:t>Go-Live</w:t>
            </w:r>
          </w:p>
        </w:tc>
        <w:tc>
          <w:tcPr>
            <w:tcW w:type="dxa" w:w="4153"/>
          </w:tcPr>
          <w:p>
            <w:r>
              <w:t>Retificar/Ratificar Planejamento · Projetos em Andamento · Gestão de Ocorrências · Termo de Aceite</w:t>
            </w:r>
          </w:p>
        </w:tc>
      </w:tr>
    </w:tbl>
    <w:p>
      <w:pPr>
        <w:pStyle w:val="Heading2"/>
      </w:pPr>
      <w:r>
        <w:t>8.3 Gestão de Ocorrências (Go-Live)</w:t>
      </w:r>
    </w:p>
    <w:p>
      <w:r>
        <w:t>Registra ocorrências de erro encontradas durante o Go-Live: descrição, data e quem registrou. Cada ocorrência segue o ciclo Aberta → Em Solução → Resolvida. A mesma pessoa pode registrar a solução e depois confirmar.</w:t>
      </w:r>
    </w:p>
    <w:p>
      <w:pPr>
        <w:pStyle w:val="Heading2"/>
      </w:pPr>
      <w:r>
        <w:t>8.4 Termo de Aceite (Go-Live)</w:t>
      </w:r>
    </w:p>
    <w:p>
      <w:r>
        <w:t>Registro formal do aceite do projeto: quem aceitou, data, ressalvas e observações. Fica editável até a conclusão do projeto.</w:t>
      </w:r>
    </w:p>
    <w:p>
      <w:r>
        <w:t>O Termo só pode ser registrado depois que a evolução do Go-Live chega a 100%. Antes disso, na lista da sub-aba "Termo de Aceite" o botão aparece como "Aguardando 100%", e se o modal for aberto ele fica só para consulta, com o aviso de que a evolução ainda não fechou. Também continua bloqueado enquanto existir qualquer ocorrência de erro em aberto.</w:t>
      </w:r>
    </w:p>
    <w:p>
      <w:pPr>
        <w:pStyle w:val="Heading2"/>
      </w:pPr>
      <w:r>
        <w:t>8.5 Ratificar ou retificar o planejamento</w:t>
      </w:r>
    </w:p>
    <w:p>
      <w:r>
        <w:t>Cada uma das 3 fases pode ter seu planejamento ratificado ou retificado individualmente — mas só até a primeira marcação de evolução acima de 0% daquela fase específica.</w:t>
      </w:r>
    </w:p>
    <w:p>
      <w:pPr>
        <w:pStyle w:val="Heading2"/>
      </w:pPr>
      <w:r>
        <w:t>8.6 Subprojetos</w:t>
      </w:r>
    </w:p>
    <w:p>
      <w:r>
        <w:t>Permite dividir um projeto grande em subprojetos independentes, que aparecem em todo o sistema como projetos comuns, ligados ao "pai" apenas para agrupamento.</w:t>
      </w:r>
    </w:p>
    <w:p>
      <w:pPr>
        <w:pStyle w:val="Heading2"/>
      </w:pPr>
      <w:r>
        <w:t>8.7 Concluir Projeto / Subprojeto</w:t>
      </w:r>
    </w:p>
    <w:p>
      <w:r>
        <w:t>Onde: Execução &gt; Concluir Projeto / Subprojeto. Baixa definitiva do projeto. É a ÚNICA forma de um projeto passar para Conclusão: ao registrar 100% no Go-Live o projeto não é encerrado automaticamente — ele fica com o status "Pendente de Termo de Aceite", ainda na fase de Go-Live, e aguarda esta tela. Exige data de conclusão e observação (exibida no Detalhamento do Projeto).</w:t>
      </w:r>
    </w:p>
    <w:p>
      <w:r>
        <w:t>O sistema bloqueia a conclusão de um projeto que passou por Go-Live se: existir qualquer ocorrência de erro com status diferente de Resolvida; ou não existir nenhum Termo de Aceite registrado. Continua também bloqueando quando há subprojetos "filho" ainda não concluídos.</w:t>
      </w:r>
    </w:p>
    <w:p>
      <w:pPr>
        <w:pStyle w:val="Heading1"/>
      </w:pPr>
      <w:r>
        <w:t>9. Regras Comuns às Telas de Planejamento</w:t>
      </w:r>
    </w:p>
    <w:p>
      <w:pPr>
        <w:pStyle w:val="ListBullet"/>
      </w:pPr>
      <w:r>
        <w:t>Datas: início não pode ser anterior a hoje (exige confirmação); término posterior ao início; nenhuma data pode ultrapassar o Ano Fiscal do projeto (exceto Carryover).</w:t>
      </w:r>
    </w:p>
    <w:p>
      <w:pPr>
        <w:pStyle w:val="ListBullet"/>
      </w:pPr>
      <w:r>
        <w:t>Responsável: escolhido de uma lista pré-cadastrada, filtrada por quem tem a atividade concedida para aquela etapa (ver 15.7).</w:t>
      </w:r>
    </w:p>
    <w:p>
      <w:pPr>
        <w:pStyle w:val="ListBullet"/>
      </w:pPr>
      <w:r>
        <w:t>Percentual de evolução: de 0% a 100%, nunca regride. Ao atingir 100%, exige observações obrigatórias, aceita um relatório de evolução opcional, e registra quem concluiu e quando.</w:t>
      </w:r>
    </w:p>
    <w:p>
      <w:pPr>
        <w:pStyle w:val="ListBullet"/>
      </w:pPr>
      <w:r>
        <w:t>Ratificar/Retificar: disponível enquanto a evolução ainda está em 0%.</w:t>
      </w:r>
    </w:p>
    <w:p>
      <w:pPr>
        <w:pStyle w:val="ListBullet"/>
      </w:pPr>
      <w:r>
        <w:t>Alerta de atraso: amarelo até 50 pontos percentuais de atraso, vermelho acima disso.</w:t>
      </w:r>
    </w:p>
    <w:p>
      <w:pPr>
        <w:pStyle w:val="ListBullet"/>
      </w:pPr>
      <w:r>
        <w:t>Notificações por e-mail: disparadas automaticamente quando o ponto estiver configurado (15.4).</w:t>
      </w:r>
    </w:p>
    <w:p>
      <w:pPr>
        <w:pStyle w:val="Heading1"/>
      </w:pPr>
      <w:r>
        <w:t>10. Governança</w:t>
      </w:r>
    </w:p>
    <w:p>
      <w:pPr>
        <w:pStyle w:val="Heading2"/>
      </w:pPr>
      <w:r>
        <w:t>10.1 Cobrança de Ajustes</w:t>
      </w:r>
    </w:p>
    <w:p>
      <w:r>
        <w:t>Lista projetos com farol crítico, evolução parada ou vencidos. O usuário seleciona projetos, escolhe um modelo de e-mail de Governança e envia a cobrança.</w:t>
      </w:r>
    </w:p>
    <w:p>
      <w:pPr>
        <w:pStyle w:val="Heading2"/>
      </w:pPr>
      <w:r>
        <w:t>10.2 Retomar Projetos em Hold</w:t>
      </w:r>
    </w:p>
    <w:p>
      <w:r>
        <w:t>Lista projetos em Hold, mostrando quando/por quem foram colocados nessa situação. Ao retomar, o projeto volta para "A Planejar" na fase em que estava — o orçamento cedido no trade-off não é devolvido automaticamente.</w:t>
      </w:r>
    </w:p>
    <w:p>
      <w:pPr>
        <w:pStyle w:val="Heading2"/>
      </w:pPr>
      <w:r>
        <w:t>10.3 Mudança de Orçamento</w:t>
      </w:r>
    </w:p>
    <w:p>
      <w:r>
        <w:t>Registra a aprovação de uma mudança de orçamento de um projeto (quem aprovou, quando e o motivo), liberando o projeto que estava bloqueado por variação acima do percentual configurado (ver 15.6).</w:t>
      </w:r>
    </w:p>
    <w:p>
      <w:pPr>
        <w:pStyle w:val="Heading1"/>
      </w:pPr>
      <w:r>
        <w:t>11. Contratos e Terceiros</w:t>
      </w:r>
    </w:p>
    <w:p>
      <w:pPr>
        <w:pStyle w:val="Heading2"/>
      </w:pPr>
      <w:r>
        <w:t>11.1 Empresas Terceirizadas</w:t>
      </w:r>
    </w:p>
    <w:p>
      <w:r>
        <w:t>2 abas — "Cadastrar" e "Cadastrados". Cadastro simples: código, nome, ativo/inativo.</w:t>
      </w:r>
    </w:p>
    <w:p>
      <w:pPr>
        <w:pStyle w:val="Heading2"/>
      </w:pPr>
      <w:r>
        <w:t>11.2 Contratos Terceirizados</w:t>
      </w:r>
    </w:p>
    <w:p>
      <w:r>
        <w:t>2 abas — "Novos Contratos" e "Contratos Ativos", com status Ativo/Inativo. O cadastro do contrato (empresa, número, valor total, datas, horas) não exige um projeto na criação — vincular a projetos é a função separada abaixo.</w:t>
      </w:r>
    </w:p>
    <w:p>
      <w:pPr>
        <w:pStyle w:val="Heading2"/>
      </w:pPr>
      <w:r>
        <w:t>11.3 Contratos por Projeto (vínculo)</w:t>
      </w:r>
    </w:p>
    <w:p>
      <w:r>
        <w:t>Liga contratos já cadastrados a um ou mais projetos, com um valor próprio por vínculo. Regras:</w:t>
      </w:r>
    </w:p>
    <w:p>
      <w:pPr>
        <w:pStyle w:val="ListBullet"/>
      </w:pPr>
      <w:r>
        <w:t>Um contrato pode ser vinculado a vários projetos, e um projeto pode ter vários contratos.</w:t>
      </w:r>
    </w:p>
    <w:p>
      <w:pPr>
        <w:pStyle w:val="ListBullet"/>
      </w:pPr>
      <w:r>
        <w:t>O valor de cada vínculo não pode superar o saldo disponível do contrato.</w:t>
      </w:r>
    </w:p>
    <w:p>
      <w:pPr>
        <w:pStyle w:val="ListBullet"/>
      </w:pPr>
      <w:r>
        <w:t>A soma dos vínculos de um projeto não pode superar o orçamento dele.</w:t>
      </w:r>
    </w:p>
    <w:p>
      <w:pPr>
        <w:pStyle w:val="ListBullet"/>
      </w:pPr>
      <w:r>
        <w:t>Um vínculo só pode ser editado ou excluído enquanto não tiver nenhum valor realizado registrado.</w:t>
      </w:r>
    </w:p>
    <w:p>
      <w:pPr>
        <w:pStyle w:val="ListBullet"/>
      </w:pPr>
      <w:r>
        <w:t>Toda criação, alteração ou exclusão fica registrada em histórico, visível no Detalhamento do Projeto.</w:t>
      </w:r>
    </w:p>
    <w:p>
      <w:pPr>
        <w:pStyle w:val="Heading2"/>
      </w:pPr>
      <w:r>
        <w:t>11.4 Registro de Valores Realizados</w:t>
      </w:r>
    </w:p>
    <w:p>
      <w:r>
        <w:t>Funciona por vínculo (projeto + contrato). Se um projeto tem mais de um contrato, aparece como mais de uma opção, cada uma travando no saldo daquele vínculo. Ao selecionar um vínculo, mostra a "Visão do Contrato" — os outros projetos do mesmo contrato, com valor alocado e realizado. Todo pagamento atualiza o valor realizado do projeto usado no Dashboard e nos indicadores.</w:t>
      </w:r>
    </w:p>
    <w:p>
      <w:pPr>
        <w:pStyle w:val="Heading2"/>
      </w:pPr>
      <w:r>
        <w:t>11.5 Relatório de Projetos</w:t>
      </w:r>
    </w:p>
    <w:p>
      <w:r>
        <w:t>Lista clicável de todos os projetos. Ao clicar, mostra o cabeçalho completo e a seção "Contratos Vinculados" — cada contrato ligado ao projeto, com valor alocado e realizado, e os pagamentos daquele vínculo.</w:t>
      </w:r>
    </w:p>
    <w:p>
      <w:pPr>
        <w:pStyle w:val="Heading1"/>
      </w:pPr>
      <w:r>
        <w:t>12. Indicadores e Acompanhamento do Portfólio</w:t>
      </w:r>
    </w:p>
    <w:p>
      <w:pPr>
        <w:pStyle w:val="Heading2"/>
      </w:pPr>
      <w:r>
        <w:t>12.1 Seletor de Ano Fiscal</w:t>
      </w:r>
    </w:p>
    <w:p>
      <w:r>
        <w:t>Dashboard, Consulta de Projetos, Roadmap e Financeiro compartilham o mesmo tipo de seletor de Ano Fiscal. A lista de opções é montada a partir da configuração de Anos Fiscais (4), não da data do dia:</w:t>
      </w:r>
    </w:p>
    <w:p>
      <w:pPr>
        <w:pStyle w:val="ListBullet"/>
      </w:pPr>
      <w:r>
        <w:t>uma opção para cada Ano Fiscal cadastrado (ex.: "Ano Fiscal AF2026", "Ano Fiscal AF2027"), com uma etiqueta indicando se o orçamento/ano está aberto, fechado ou em pipeline;</w:t>
      </w:r>
    </w:p>
    <w:p>
      <w:pPr>
        <w:pStyle w:val="ListBullet"/>
      </w:pPr>
      <w:r>
        <w:t>"Pipeline" — só os projetos do próximo AF que ainda estão em Business Case;</w:t>
      </w:r>
    </w:p>
    <w:p>
      <w:pPr>
        <w:pStyle w:val="ListBullet"/>
      </w:pPr>
      <w:r>
        <w:t>"Todos" — o portfólio inteiro, de todos os anos.</w:t>
      </w:r>
    </w:p>
    <w:p>
      <w:r>
        <w:t>Cada tela guarda a sua própria seleção. Ao escolher um Ano Fiscal específico, os projetos em Carryover aparecem junto, independentemente do ano de origem. O Dashboard, o Roadmap e o Financeiro abrem no AF em andamento; a Consulta de Projetos abre em "Todos".</w:t>
      </w:r>
    </w:p>
    <w:p>
      <w:pPr>
        <w:pStyle w:val="Heading2"/>
      </w:pPr>
      <w:r>
        <w:t>12.2 Agrupamento de Orçamento (Ano Fiscal / Área / Produto)</w:t>
      </w:r>
    </w:p>
    <w:p>
      <w:r>
        <w:t>NOVO. No Dashboard e no Financeiro, acima do quadro de valores, há um seletor de agrupamento:</w:t>
      </w:r>
    </w:p>
    <w:p>
      <w:pPr>
        <w:pStyle w:val="ListBullet"/>
      </w:pPr>
      <w:r>
        <w:t>Ano Fiscal (padrão) — a visão de orçamento do AF inteiro.</w:t>
      </w:r>
    </w:p>
    <w:p>
      <w:pPr>
        <w:pStyle w:val="ListBullet"/>
      </w:pPr>
      <w:r>
        <w:t>Área — aparece um segundo campo para escolher qual Área; a tela passa a considerar só os projetos daquela Área.</w:t>
      </w:r>
    </w:p>
    <w:p>
      <w:pPr>
        <w:pStyle w:val="ListBullet"/>
      </w:pPr>
      <w:r>
        <w:t>Produto — aparece um segundo campo para escolher qual Produto; a tela passa a considerar só os projetos daquele Produto.</w:t>
      </w:r>
    </w:p>
    <w:p>
      <w:r>
        <w:t>A seleção ativa é mostrada na linha "Visão por:" e recalcula a tela inteira — quadro de valores, listas e gráficos — do mesmo jeito que o filtro de Ano Fiscal. O agrupamento ativo também é o que define os "subgrupos" usados nas regras de integridade de Carryover e Extraordinária (4.2, 5.6) e no Ajuste de Orçamento (4.3).</w:t>
      </w:r>
    </w:p>
    <w:p>
      <w:pPr>
        <w:pStyle w:val="Heading2"/>
      </w:pPr>
      <w:r>
        <w:t>12.3 Quadro de Orçamento</w:t>
      </w:r>
    </w:p>
    <w:p>
      <w:r>
        <w:t>NOVO. Substitui os antigos cartões de KPI e os quadros separados de CAPEX/OPEX e de Carry Over. É uma tabela única, com o cabeçalho "Visão por: [seleção ativa]" e 3 colunas (Total, CAPEX, OPEX). As duas primeiras linhas são contagens de projetos; as demais são valores em R$:</w:t>
      </w:r>
    </w:p>
    <w:tbl>
      <w:tblPr>
        <w:tblStyle w:val="LightGrid-Accent1"/>
        <w:tblW w:type="auto" w:w="0"/>
        <w:tblLook w:firstColumn="1" w:firstRow="1" w:lastColumn="0" w:lastRow="0" w:noHBand="0" w:noVBand="1" w:val="04A0"/>
      </w:tblPr>
      <w:tblGrid>
        <w:gridCol w:w="4153"/>
        <w:gridCol w:w="4153"/>
      </w:tblGrid>
      <w:tr>
        <w:tc>
          <w:tcPr>
            <w:tcW w:type="dxa" w:w="4153"/>
          </w:tcPr>
          <w:p>
            <w:r>
              <w:rPr>
                <w:b/>
              </w:rPr>
              <w:t>Linha</w:t>
            </w:r>
          </w:p>
        </w:tc>
        <w:tc>
          <w:tcPr>
            <w:tcW w:type="dxa" w:w="4153"/>
          </w:tcPr>
          <w:p>
            <w:r>
              <w:rPr>
                <w:b/>
              </w:rPr>
              <w:t>O que representa</w:t>
            </w:r>
          </w:p>
        </w:tc>
      </w:tr>
      <w:tr>
        <w:tc>
          <w:tcPr>
            <w:tcW w:type="dxa" w:w="4153"/>
          </w:tcPr>
          <w:p>
            <w:r>
              <w:t>Total de Projetos para Gerar Orçamento</w:t>
            </w:r>
          </w:p>
        </w:tc>
        <w:tc>
          <w:tcPr>
            <w:tcW w:type="dxa" w:w="4153"/>
          </w:tcPr>
          <w:p>
            <w:r>
              <w:t>Contagem dos projetos do recorte que ainda estão em Business Case, antes de ter orçamento. Sem separação CAPEX/OPEX.</w:t>
            </w:r>
          </w:p>
        </w:tc>
      </w:tr>
      <w:tr>
        <w:tc>
          <w:tcPr>
            <w:tcW w:type="dxa" w:w="4153"/>
          </w:tcPr>
          <w:p>
            <w:r>
              <w:t>Total de Projetos com Orçamento</w:t>
            </w:r>
          </w:p>
        </w:tc>
        <w:tc>
          <w:tcPr>
            <w:tcW w:type="dxa" w:w="4153"/>
          </w:tcPr>
          <w:p>
            <w:r>
              <w:t>Contagem dos projetos do recorte que já compõem o total do ano — aprovados, Carryover ou Extraordinários.</w:t>
            </w:r>
          </w:p>
        </w:tc>
      </w:tr>
      <w:tr>
        <w:tc>
          <w:tcPr>
            <w:tcW w:type="dxa" w:w="4153"/>
          </w:tcPr>
          <w:p>
            <w:r>
              <w:t>Orçamento Fechado</w:t>
            </w:r>
          </w:p>
        </w:tc>
        <w:tc>
          <w:tcPr>
            <w:tcW w:type="dxa" w:w="4153"/>
          </w:tcPr>
          <w:p>
            <w:r>
              <w:t>Soma do orçamento oficial dos projetos normais (fora Extraordinário e Carryover).</w:t>
            </w:r>
          </w:p>
        </w:tc>
      </w:tr>
      <w:tr>
        <w:tc>
          <w:tcPr>
            <w:tcW w:type="dxa" w:w="4153"/>
          </w:tcPr>
          <w:p>
            <w:r>
              <w:t>Orçamento Projetos Extraordinário</w:t>
            </w:r>
          </w:p>
        </w:tc>
        <w:tc>
          <w:tcPr>
            <w:tcW w:type="dxa" w:w="4153"/>
          </w:tcPr>
          <w:p>
            <w:r>
              <w:t>Soma do orçamento das demandas Extraordinárias.</w:t>
            </w:r>
          </w:p>
        </w:tc>
      </w:tr>
      <w:tr>
        <w:tc>
          <w:tcPr>
            <w:tcW w:type="dxa" w:w="4153"/>
          </w:tcPr>
          <w:p>
            <w:r>
              <w:t>Orçamento Carry Over — Em Andamento</w:t>
            </w:r>
          </w:p>
        </w:tc>
        <w:tc>
          <w:tcPr>
            <w:tcW w:type="dxa" w:w="4153"/>
          </w:tcPr>
          <w:p>
            <w:r>
              <w:t>Soma dos saldos de carryover congelados dos projetos em Carryover Desenvolvimento (que seguem em andamento).</w:t>
            </w:r>
          </w:p>
        </w:tc>
      </w:tr>
      <w:tr>
        <w:tc>
          <w:tcPr>
            <w:tcW w:type="dxa" w:w="4153"/>
          </w:tcPr>
          <w:p>
            <w:r>
              <w:t>Orçamento Carry Over — Em Hold</w:t>
            </w:r>
          </w:p>
        </w:tc>
        <w:tc>
          <w:tcPr>
            <w:tcW w:type="dxa" w:w="4153"/>
          </w:tcPr>
          <w:p>
            <w:r>
              <w:t>Soma dos saldos de carryover congelados dos projetos em Carryover Hold.</w:t>
            </w:r>
          </w:p>
        </w:tc>
      </w:tr>
      <w:tr>
        <w:tc>
          <w:tcPr>
            <w:tcW w:type="dxa" w:w="4153"/>
          </w:tcPr>
          <w:p>
            <w:r>
              <w:t>Orçamento Atual</w:t>
            </w:r>
          </w:p>
        </w:tc>
        <w:tc>
          <w:tcPr>
            <w:tcW w:type="dxa" w:w="4153"/>
          </w:tcPr>
          <w:p>
            <w:r>
              <w:t>Fechado + Extraordinário + Carry Over (Em Andamento + Em Hold) — o total vigente do recorte.</w:t>
            </w:r>
          </w:p>
        </w:tc>
      </w:tr>
      <w:tr>
        <w:tc>
          <w:tcPr>
            <w:tcW w:type="dxa" w:w="4153"/>
          </w:tcPr>
          <w:p>
            <w:r>
              <w:t>Valores Já Realizados</w:t>
            </w:r>
          </w:p>
        </w:tc>
        <w:tc>
          <w:tcPr>
            <w:tcW w:type="dxa" w:w="4153"/>
          </w:tcPr>
          <w:p>
            <w:r>
              <w:t>Quanto já foi efetivamente gasto/pago nos projetos do recorte.</w:t>
            </w:r>
          </w:p>
        </w:tc>
      </w:tr>
      <w:tr>
        <w:tc>
          <w:tcPr>
            <w:tcW w:type="dxa" w:w="4153"/>
          </w:tcPr>
          <w:p>
            <w:r>
              <w:t>Orçamento a Realizar</w:t>
            </w:r>
          </w:p>
        </w:tc>
        <w:tc>
          <w:tcPr>
            <w:tcW w:type="dxa" w:w="4153"/>
          </w:tcPr>
          <w:p>
            <w:r>
              <w:t>Orçamento Atual − Valores Já Realizados (verde quando positivo, vermelho quando negativo).</w:t>
            </w:r>
          </w:p>
        </w:tc>
      </w:tr>
    </w:tbl>
    <w:p>
      <w:pPr>
        <w:pStyle w:val="Heading2"/>
      </w:pPr>
      <w:r>
        <w:t>12.4 Dashboard</w:t>
      </w:r>
    </w:p>
    <w:p>
      <w:r>
        <w:t>Onde: barra superior &gt; Dashboard. Traz o seletor de agrupamento e o Quadro de Orçamento (12.2 e 12.3), o quadro "Status Detalhado da Carteira" (ordenado por padrão pelo número sequencial do código), os funis de aprovação e a consolidação por fase.</w:t>
      </w:r>
    </w:p>
    <w:p>
      <w:r>
        <w:t>O quadro "Projetos na Criação do Ano Fiscal" tem, como última linha antes do total, o "Total de Projetos Cancelados" do recorte.</w:t>
      </w:r>
    </w:p>
    <w:p>
      <w:pPr>
        <w:pStyle w:val="Heading2"/>
      </w:pPr>
      <w:r>
        <w:t>12.5 Consulta de Projetos</w:t>
      </w:r>
    </w:p>
    <w:p>
      <w:r>
        <w:t>Onde: barra superior &gt; Consulta de Projetos. Tela dedicada de consulta ao portfólio — uma cópia segregada do quadro "Status Detalhado da Carteira", com os mesmos filtros e ordenação, mas com seu próprio seletor de Ano Fiscal (padrão "Todos"), independente do Dashboard.</w:t>
      </w:r>
    </w:p>
    <w:p>
      <w:pPr>
        <w:pStyle w:val="Heading2"/>
      </w:pPr>
      <w:r>
        <w:t>12.6 Roadmap</w:t>
      </w:r>
    </w:p>
    <w:p>
      <w:r>
        <w:t>4 visões alternativas: Por Fase, Por Área, Por Responsável e Por Iniciativa Estratégica. Um usuário comum só vê projetos da própria área (a não ser que tenha Acesso Irrestrito ou seja da área de Tecnologia da Informação); o Administrador e o Proprietário veem o portfólio inteiro.</w:t>
      </w:r>
    </w:p>
    <w:p>
      <w:r>
        <w:t>A linha do tempo (Gantt) começa no mês de início do Ano Fiscal configurado em Administração &gt; Período do Ano Fiscal (15.10) — com o padrão (abril) a grade vai de ABR a MAR, como sempre.</w:t>
      </w:r>
    </w:p>
    <w:p>
      <w:pPr>
        <w:pStyle w:val="Heading2"/>
      </w:pPr>
      <w:r>
        <w:t>12.7 Financeiro (Visão de Orçamento)</w:t>
      </w:r>
    </w:p>
    <w:p>
      <w:r>
        <w:t>Onde: barra superior &gt; Financeiro. Traz o mesmo seletor de agrupamento e Quadro de Orçamento do Dashboard (12.2 e 12.3) e a comparação projeto a projeto de Business Case, Requerimentos e Especificação, com semáforo de variação (verde/amarelo/vermelho, informativo).</w:t>
      </w:r>
    </w:p>
    <w:p>
      <w:pPr>
        <w:pStyle w:val="Heading2"/>
      </w:pPr>
      <w:r>
        <w:t>12.8 Alertas de Orçamento</w:t>
      </w:r>
    </w:p>
    <w:p>
      <w:r>
        <w:t>Lista consolidada dos alertas de variação (valor e horas) de Requerimentos e Especificação, vermelhos primeiro.</w:t>
      </w:r>
    </w:p>
    <w:p>
      <w:pPr>
        <w:pStyle w:val="Heading2"/>
      </w:pPr>
      <w:r>
        <w:t>12.9 Cronograma &amp; Evolução</w:t>
      </w:r>
    </w:p>
    <w:p>
      <w:r>
        <w:t>Reúne todas as fases numa visão só: farol de prazo por projeto, filtros e "Responsáveis sem Atualização".</w:t>
      </w:r>
    </w:p>
    <w:p>
      <w:pPr>
        <w:pStyle w:val="Heading2"/>
      </w:pPr>
      <w:r>
        <w:t>12.10 Detalhamento do Projeto</w:t>
      </w:r>
    </w:p>
    <w:p>
      <w:r>
        <w:t>Acessado clicando no código de qualquer projeto. O cabeçalho é organizado em blocos rotulados, com divisórias, e os títulos que descrevem o projeto aparecem em azul e negrito para destaque.</w:t>
      </w:r>
    </w:p>
    <w:p>
      <w:r>
        <w:t>Além do cabeçalho, valores por fase, linha do tempo de etapas e histórico de Hold/trade-off, mostra: a Observação de Conclusão do Projeto; as Ocorrências de Go-Live e o Termo de Aceite (quando o projeto passou por Go-Live); a seção "Decisões de Fechamento" (o histórico de Carryover Desenvolvimento / Carryover Hold / Cancelamento / Reversão feito na tela Fechamento Ano Fiscal — ver 4.2); e os Vínculos de Contrato, com o histórico completo de criação/alteração/exclusão.</w:t>
      </w:r>
    </w:p>
    <w:p>
      <w:pPr>
        <w:pStyle w:val="Heading1"/>
      </w:pPr>
      <w:r>
        <w:t>13. Perfis de Acesso — Telas de Administração</w:t>
      </w:r>
    </w:p>
    <w:p>
      <w:pPr>
        <w:pStyle w:val="Heading2"/>
      </w:pPr>
      <w:r>
        <w:t>13.1 Usuários</w:t>
      </w:r>
    </w:p>
    <w:p>
      <w:r>
        <w:t>2 abas — "Cadastrar" e "Cadastrados". A criação de uma conta gera senha provisória e obriga a troca no primeiro acesso (o link de recuperação expirado agora mostra uma mensagem clara em vez de erro). A edição de um perfil usa um select de área validado, para não quebrar a Restrição de Área. Exclusão é sempre lógica. Um usuário que tem o papel PROPRIETÁRIO não aparece nesta lista — nem pode ser editado ou inativado — para quem não é Proprietário.</w:t>
      </w:r>
    </w:p>
    <w:p>
      <w:pPr>
        <w:pStyle w:val="Heading2"/>
      </w:pPr>
      <w:r>
        <w:t>13.2 Funções e Permissões</w:t>
      </w:r>
    </w:p>
    <w:p>
      <w:r>
        <w:t>O cadastro de um papel é um checklist do catálogo de atividades (2.1), agrupado por Grupo → Subgrupo. Cada atividade tem as 4 caixas Consultar / Incluir / Alterar / Deletar (2.3). Continua exigindo pelo menos uma atividade marcada, a não ser que o papel seja Acesso Irrestrito. A caixa "É Proprietário" e a própria função de Proprietário só aparecem para quem já é Proprietário. Um papel só pode ser inativado se nenhum usuário ainda o tiver atribuído.</w:t>
      </w:r>
    </w:p>
    <w:p>
      <w:r>
        <w:t>Caixa "Ignora Restrição de Área" (2.5) — independente de Acesso Irrestrito: marca que essa função enxerga todas as áreas nas telas com Restrição de Área ligada, mas continua sujeita ao catálogo de atividades normalmente (só isso muda). Fica redundante, mas inofensiva, se Acesso Irrestrito já estiver marcado — nesse caso a lista de Funções Cadastradas não mostra a etiqueta "Ignora Restrição de Área" (some sob a etiqueta "Acesso Irrestrito", que já cobre o caso).</w:t>
      </w:r>
    </w:p>
    <w:p>
      <w:pPr>
        <w:pStyle w:val="Heading2"/>
      </w:pPr>
      <w:r>
        <w:t>13.3 Atribuição de Funções aos Usuários</w:t>
      </w:r>
    </w:p>
    <w:p>
      <w:r>
        <w:t>Vincula um ou mais papéis já cadastrados a cada usuário. A função PROPRIETÁRIO, e os usuários que já a têm, só aparecem para quem é Proprietário.</w:t>
      </w:r>
    </w:p>
    <w:p>
      <w:pPr>
        <w:pStyle w:val="Heading2"/>
      </w:pPr>
      <w:r>
        <w:t>13.4 Responsáveis por Atividade</w:t>
      </w:r>
    </w:p>
    <w:p>
      <w:r>
        <w:t>Atribui as etapas do workflow diretamente a Usuários já cadastrados — 2 abas: "Atribuir Atividades" (escolhe um usuário e marca as etapas para as quais ele pode ser designado responsável) e "Atribuições Cadastradas" (lista agrupada por usuário). Esta tela fica no grupo Administração (ver 15.7).</w:t>
      </w:r>
    </w:p>
    <w:p>
      <w:pPr>
        <w:pStyle w:val="Heading2"/>
      </w:pPr>
      <w:r>
        <w:t>13.5 Restrição de Área por Atividade</w:t>
      </w:r>
    </w:p>
    <w:p>
      <w:r>
        <w:t>Lista o catálogo de atividades completo, agrupado por Grupo → Subgrupo (só leitura), com um interruptor Sim/Não por atividade para o campo Restrição de Área (2.5). É a única coisa editável aqui.</w:t>
      </w:r>
    </w:p>
    <w:p>
      <w:pPr>
        <w:pStyle w:val="Heading2"/>
      </w:pPr>
      <w:r>
        <w:t>13.6 Licenciamento de Módulos</w:t>
      </w:r>
    </w:p>
    <w:p>
      <w:r>
        <w:t>Onde: menu Proprietário &gt; Licenciamento de Módulos. Só o Proprietário vê e altera. Liga/desliga cada módulo do sistema (ver 2.6).</w:t>
      </w:r>
    </w:p>
    <w:p>
      <w:pPr>
        <w:pStyle w:val="Heading1"/>
      </w:pPr>
      <w:r>
        <w:t>14. Parâmetros e Cadastros</w:t>
      </w:r>
    </w:p>
    <w:p>
      <w:pPr>
        <w:pStyle w:val="Heading2"/>
      </w:pPr>
      <w:r>
        <w:t>14.1 Padrão "Cadastrar / Cadastrados"</w:t>
      </w:r>
    </w:p>
    <w:p>
      <w:r>
        <w:t>As telas de cadastro básico seguem o mesmo padrão de duas abas: uma "Cadastrar" (formulário) e uma "Cadastrados" (lista, com Editar e Ativar/Inativar). A aba "Cadastrar" só aparece se o papel tiver Incluir ou Alterar naquela tela.</w:t>
      </w:r>
    </w:p>
    <w:p>
      <w:pPr>
        <w:pStyle w:val="Heading2"/>
      </w:pPr>
      <w:r>
        <w:t>14.2 Áreas Solicitantes</w:t>
      </w:r>
    </w:p>
    <w:p>
      <w:r>
        <w:t>Código/mnemônico e nome da área. O mnemônico entra no código do projeto e o nome é usado no agrupamento por Área.</w:t>
      </w:r>
    </w:p>
    <w:p>
      <w:pPr>
        <w:pStyle w:val="Heading2"/>
      </w:pPr>
      <w:r>
        <w:t>14.3 Pessoas Solicitantes</w:t>
      </w:r>
    </w:p>
    <w:p>
      <w:r>
        <w:t>Nome e área de cada pessoa que pode ser indicada como solicitante/responsável de uma demanda.</w:t>
      </w:r>
    </w:p>
    <w:p>
      <w:pPr>
        <w:pStyle w:val="Heading2"/>
      </w:pPr>
      <w:r>
        <w:t>14.4 Cadastro de Porte</w:t>
      </w:r>
    </w:p>
    <w:p>
      <w:r>
        <w:t>Códigos de porte (P, M, G, …) e a faixa de horas de cada um — é o que o sistema usa para calcular o porte automaticamente.</w:t>
      </w:r>
    </w:p>
    <w:p>
      <w:pPr>
        <w:pStyle w:val="Heading2"/>
      </w:pPr>
      <w:r>
        <w:t>14.5 Tipos de Projeto</w:t>
      </w:r>
    </w:p>
    <w:p>
      <w:r>
        <w:t>Código curto + descrição. Escolha obrigatória na Formalização da Demanda. O código nunca muda depois de criado; a descrição pode ser editada enquanto o tipo ainda não estiver em uso por nenhum projeto — depois disso, só ativar ou inativar (mesmo critério de Cadastro de Porte).</w:t>
      </w:r>
    </w:p>
    <w:p>
      <w:pPr>
        <w:pStyle w:val="Heading2"/>
      </w:pPr>
      <w:r>
        <w:t>14.6 Cadastro de Produtos</w:t>
      </w:r>
    </w:p>
    <w:p>
      <w:r>
        <w:t>Código, nome e situação ativo/inativo de cada Produto. Mesmo padrão de "Cadastrar / Cadastrados". O código nunca muda depois de criado; o nome pode ser editado enquanto o produto ainda não estiver em uso por nenhum projeto — depois disso, só ativar ou inativar. Existe um Produto reservado "Não Classificado" (código NAO_CLASSIFICADO), que não pode ser editado, inativado nem escolhido em demandas novas — ele carrega os projetos antigos migrados até serem reclassificados.</w:t>
      </w:r>
    </w:p>
    <w:p>
      <w:pPr>
        <w:pStyle w:val="Heading2"/>
      </w:pPr>
      <w:r>
        <w:t>14.7 Retorno / Benefícios de Projeto</w:t>
      </w:r>
    </w:p>
    <w:p>
      <w:r>
        <w:t>Tabela dos tipos de retorno/benefício disponíveis para o quadro "Benefit Results" da demanda. O parâmetro "Permite Valor" controla se, ao escolher esse tipo na demanda, é possível informar um valor de NPV ou ROI.</w:t>
      </w:r>
    </w:p>
    <w:p>
      <w:pPr>
        <w:pStyle w:val="Heading2"/>
      </w:pPr>
      <w:r>
        <w:t>14.8 Planejamento Estratégico</w:t>
      </w:r>
    </w:p>
    <w:p>
      <w:r>
        <w:t>4 sub-abas: Cadastrar Pilar, Pilares Cadastrados, Cadastrar Iniciativa e Iniciativas Cadastradas. Toda Iniciativa pertence a um Pilar, e herda o Ano Fiscal dele. O Ano Fiscal do Pilar é escolhido a partir dos Anos Fiscais já configurados (ver 4.1).</w:t>
      </w:r>
    </w:p>
    <w:p>
      <w:pPr>
        <w:pStyle w:val="Heading2"/>
      </w:pPr>
      <w:r>
        <w:t>14.9 Cargos</w:t>
      </w:r>
    </w:p>
    <w:p>
      <w:r>
        <w:t>Cadastro dos cargos usados no perfil de cada usuário (obrigatório na criação do usuário). Ficava em Administração e passou para Parâmetros e Cadastros. O nome pode ser editado enquanto o cargo ainda não estiver atribuído a nenhum usuário — depois disso, só ativar ou inativar. O cargo "ANALISTA DE TECNOLOGIA" é reservado (é o que o sistema atribui automaticamente a todo usuário novo) e não pode ser renomeado.</w:t>
      </w:r>
    </w:p>
    <w:p>
      <w:pPr>
        <w:pStyle w:val="Heading1"/>
      </w:pPr>
      <w:r>
        <w:t>15. Administração do Sistema</w:t>
      </w:r>
    </w:p>
    <w:p>
      <w:pPr>
        <w:pStyle w:val="Heading2"/>
      </w:pPr>
      <w:r>
        <w:t>15.1 Fases e Etapas do Workflow</w:t>
      </w:r>
    </w:p>
    <w:p>
      <w:r>
        <w:t>Cadastro, edição, reordenação e inativação das etapas do workflow; gerente responsável por fase; flag de decisão de aprovação; e configuração do SLA por etapa e porte.</w:t>
      </w:r>
    </w:p>
    <w:p>
      <w:pPr>
        <w:pStyle w:val="Heading2"/>
      </w:pPr>
      <w:r>
        <w:t>15.2 SLA &amp; Prazos</w:t>
      </w:r>
    </w:p>
    <w:p>
      <w:r>
        <w:t>Tela de consulta com a matriz completa etapa × porte. A edição é feita em Fases e Etapas do Workflow.</w:t>
      </w:r>
    </w:p>
    <w:p>
      <w:pPr>
        <w:pStyle w:val="Heading2"/>
      </w:pPr>
      <w:r>
        <w:t>15.3 Envio de E-mail — Gestão de Templates</w:t>
      </w:r>
    </w:p>
    <w:p>
      <w:r>
        <w:t>Cadastro dos modelos reutilizáveis de e-mail (assunto + texto).</w:t>
      </w:r>
    </w:p>
    <w:p>
      <w:pPr>
        <w:pStyle w:val="Heading2"/>
      </w:pPr>
      <w:r>
        <w:t>15.4 Envio de E-mail — Gestão do Fluxo</w:t>
      </w:r>
    </w:p>
    <w:p>
      <w:r>
        <w:t>Lista fixa de todos os pontos de disparo do sistema — cada linha exige destinatário, remetente e template ativo antes de poder ser ligada. A coluna Fase mostra o nome já padronizado das telas (Requerimentos, Especificação, Execução), mesmo o motor de workflow guardando internamente os nomes antigos — é só um apelido de exibição.</w:t>
      </w:r>
    </w:p>
    <w:p>
      <w:pPr>
        <w:pStyle w:val="Heading2"/>
      </w:pPr>
      <w:r>
        <w:t>15.5 Envio de E-mail — Gestão de Fila de Envio</w:t>
      </w:r>
    </w:p>
    <w:p>
      <w:r>
        <w:t>Mostra os e-mails enfileirados e seu status. O botão "Processar Fila" dispara o envio real.</w:t>
      </w:r>
    </w:p>
    <w:p>
      <w:pPr>
        <w:pStyle w:val="Heading2"/>
      </w:pPr>
      <w:r>
        <w:t>15.6 Percentual de Bloqueio de Orçamento</w:t>
      </w:r>
    </w:p>
    <w:p>
      <w:r>
        <w:t>Define o percentual de variação de orçamento a partir do qual um projeto fica bloqueado até uma Mudança de Orçamento aprovada (ver 10.3). Mostra o percentual vigente e o histórico de alterações (quem mudou, quando, valor anterior) — mesmo padrão de Controle Orçamentário (15.9).</w:t>
      </w:r>
    </w:p>
    <w:p>
      <w:pPr>
        <w:pStyle w:val="Heading2"/>
      </w:pPr>
      <w:r>
        <w:t>15.7 Responsáveis por Atividade</w:t>
      </w:r>
    </w:p>
    <w:p>
      <w:r>
        <w:t>Mesma tela descrita em 13.4 — fica neste grupo, antes de Gestão de Templates.</w:t>
      </w:r>
    </w:p>
    <w:p>
      <w:pPr>
        <w:pStyle w:val="Heading2"/>
      </w:pPr>
      <w:r>
        <w:t>15.8 Ferramentas de Dev</w:t>
      </w:r>
    </w:p>
    <w:p>
      <w:r>
        <w:t>Grupo próprio no menu, exclusivo do PROPRIETÁRIO (Administrador e Acesso Irrestrito não entram). Ferramentas de reinício/limpeza de dados de teste (resetar para Fase 1, limpar base mantendo só um AF, limpeza total, exclusão seletiva) e criação de projetos de teste já em qualquer fase — inclusive com Produto, que é obrigatório.</w:t>
      </w:r>
    </w:p>
    <w:p>
      <w:pPr>
        <w:pStyle w:val="Heading2"/>
      </w:pPr>
      <w:r>
        <w:t>15.9 Controle Orçamentário</w:t>
      </w:r>
    </w:p>
    <w:p>
      <w:r>
        <w:t>Onde: Administração &gt; Controle Orçamentário. Administrador e Proprietário têm acesso por padrão; e, por ser uma atividade delegável, um Administrador pode conceder essa tela a outro perfil em Funções e Permissões (13.2).</w:t>
      </w:r>
    </w:p>
    <w:p>
      <w:r>
        <w:t>Define o "modo de controle orçamentário" que rege quais projetos ficam elegíveis no trade-off da Aprovação de Demanda Extraordinária (5.6):</w:t>
      </w:r>
    </w:p>
    <w:p>
      <w:pPr>
        <w:pStyle w:val="ListBullet"/>
      </w:pPr>
      <w:r>
        <w:t>Ano Fiscal (padrão) — todos os projetos do Ano Fiscal.</w:t>
      </w:r>
    </w:p>
    <w:p>
      <w:pPr>
        <w:pStyle w:val="ListBullet"/>
      </w:pPr>
      <w:r>
        <w:t>Área — só os projetos da mesma área do projeto Extraordinário.</w:t>
      </w:r>
    </w:p>
    <w:p>
      <w:pPr>
        <w:pStyle w:val="ListBullet"/>
      </w:pPr>
      <w:r>
        <w:t>Produto — só os projetos do mesmo produto do projeto Extraordinário.</w:t>
      </w:r>
    </w:p>
    <w:p>
      <w:r>
        <w:t>A tela só pede o modo — a vigência é automática: sempre o 1º dia do mês corrente. Cada alteração fica registrada com essa vigência e um log (quem, quando, modo anterior); o histórico mostra a faixa de vigência de cada valor (início → fim, sendo o fim o dia anterior à vigência seguinte). Este parâmetro NÃO altera o seletor "Agrupar orçamento por" do Dashboard e do Financeiro (12.2), que continua sendo escolha de tela. Trocar o modo também não reprocessa trade-offs já aprovados.</w:t>
      </w:r>
    </w:p>
    <w:p>
      <w:pPr>
        <w:pStyle w:val="Heading2"/>
      </w:pPr>
      <w:r>
        <w:t>15.10 Período do Ano Fiscal</w:t>
      </w:r>
    </w:p>
    <w:p>
      <w:r>
        <w:t>Onde: Administração &gt; Período do Ano Fiscal. Restrito a Administrador ou Proprietário (não é delegável).</w:t>
      </w:r>
    </w:p>
    <w:p>
      <w:r>
        <w:t>Define o mês em que o Ano Fiscal começa (12 meses corridos). Antes era fixo em abril; agora é configurável. A tela só pede o mês de início — a vigência é automática e sempre começa no 1º dia do mês corrente; o período anterior encerra no último dia do mês anterior a essa data (o usuário não digita datas). Datas anteriores à vigência continuam apuradas no período antigo; a partir dela vale o novo mês de início. Os quarters (Q1–Q4), os rótulos "AFxxxx" e a grade de meses do Roadmap (12.6) passam a refletir o período configurado. Enquanto nenhum período for cadastrado, o sistema usa abril–março, exatamente como antes. Cada alteração fica registrada com vigência e log, e o histórico mostra a faixa de cada período (início → fim).</w:t>
      </w:r>
    </w:p>
    <w:p>
      <w:pPr>
        <w:pStyle w:val="Heading1"/>
      </w:pPr>
      <w:r>
        <w:t>16. Glossário</w:t>
      </w:r>
    </w:p>
    <w:tbl>
      <w:tblPr>
        <w:tblStyle w:val="LightGrid-Accent1"/>
        <w:tblW w:type="auto" w:w="0"/>
        <w:tblLook w:firstColumn="1" w:firstRow="1" w:lastColumn="0" w:lastRow="0" w:noHBand="0" w:noVBand="1" w:val="04A0"/>
      </w:tblPr>
      <w:tblGrid>
        <w:gridCol w:w="4153"/>
        <w:gridCol w:w="4153"/>
      </w:tblGrid>
      <w:tr>
        <w:tc>
          <w:tcPr>
            <w:tcW w:type="dxa" w:w="4153"/>
          </w:tcPr>
          <w:p>
            <w:r>
              <w:rPr>
                <w:b/>
              </w:rPr>
              <w:t>Termo</w:t>
            </w:r>
          </w:p>
        </w:tc>
        <w:tc>
          <w:tcPr>
            <w:tcW w:type="dxa" w:w="4153"/>
          </w:tcPr>
          <w:p>
            <w:r>
              <w:rPr>
                <w:b/>
              </w:rPr>
              <w:t>Significado</w:t>
            </w:r>
          </w:p>
        </w:tc>
      </w:tr>
      <w:tr>
        <w:tc>
          <w:tcPr>
            <w:tcW w:type="dxa" w:w="4153"/>
          </w:tcPr>
          <w:p>
            <w:r>
              <w:t>AF</w:t>
            </w:r>
          </w:p>
        </w:tc>
        <w:tc>
          <w:tcPr>
            <w:tcW w:type="dxa" w:w="4153"/>
          </w:tcPr>
          <w:p>
            <w:r>
              <w:t>Ano Fiscal — ciclo orçamentário anual (abril a março).</w:t>
            </w:r>
          </w:p>
        </w:tc>
      </w:tr>
      <w:tr>
        <w:tc>
          <w:tcPr>
            <w:tcW w:type="dxa" w:w="4153"/>
          </w:tcPr>
          <w:p>
            <w:r>
              <w:t>BC</w:t>
            </w:r>
          </w:p>
        </w:tc>
        <w:tc>
          <w:tcPr>
            <w:tcW w:type="dxa" w:w="4153"/>
          </w:tcPr>
          <w:p>
            <w:r>
              <w:t>Business Case — fase inicial do workflow.</w:t>
            </w:r>
          </w:p>
        </w:tc>
      </w:tr>
      <w:tr>
        <w:tc>
          <w:tcPr>
            <w:tcW w:type="dxa" w:w="4153"/>
          </w:tcPr>
          <w:p>
            <w:r>
              <w:t>Requerimentos</w:t>
            </w:r>
          </w:p>
        </w:tc>
        <w:tc>
          <w:tcPr>
            <w:tcW w:type="dxa" w:w="4153"/>
          </w:tcPr>
          <w:p>
            <w:r>
              <w:t>Fase de levantamento e avaliação dos requisitos (era "Requeriments").</w:t>
            </w:r>
          </w:p>
        </w:tc>
      </w:tr>
      <w:tr>
        <w:tc>
          <w:tcPr>
            <w:tcW w:type="dxa" w:w="4153"/>
          </w:tcPr>
          <w:p>
            <w:r>
              <w:t>Especificação</w:t>
            </w:r>
          </w:p>
        </w:tc>
        <w:tc>
          <w:tcPr>
            <w:tcW w:type="dxa" w:w="4153"/>
          </w:tcPr>
          <w:p>
            <w:r>
              <w:t>Fase de especificação técnica (era "Technical").</w:t>
            </w:r>
          </w:p>
        </w:tc>
      </w:tr>
      <w:tr>
        <w:tc>
          <w:tcPr>
            <w:tcW w:type="dxa" w:w="4153"/>
          </w:tcPr>
          <w:p>
            <w:r>
              <w:t>Execução</w:t>
            </w:r>
          </w:p>
        </w:tc>
        <w:tc>
          <w:tcPr>
            <w:tcW w:type="dxa" w:w="4153"/>
          </w:tcPr>
          <w:p>
            <w:r>
              <w:t>Fase de desenvolvimento/entrega (era "Execução - Desenvolvimento").</w:t>
            </w:r>
          </w:p>
        </w:tc>
      </w:tr>
      <w:tr>
        <w:tc>
          <w:tcPr>
            <w:tcW w:type="dxa" w:w="4153"/>
          </w:tcPr>
          <w:p>
            <w:r>
              <w:t>UAT</w:t>
            </w:r>
          </w:p>
        </w:tc>
        <w:tc>
          <w:tcPr>
            <w:tcW w:type="dxa" w:w="4153"/>
          </w:tcPr>
          <w:p>
            <w:r>
              <w:t>User Acceptance Testing — fase de homologação com o usuário final.</w:t>
            </w:r>
          </w:p>
        </w:tc>
      </w:tr>
      <w:tr>
        <w:tc>
          <w:tcPr>
            <w:tcW w:type="dxa" w:w="4153"/>
          </w:tcPr>
          <w:p>
            <w:r>
              <w:t>Go-Live</w:t>
            </w:r>
          </w:p>
        </w:tc>
        <w:tc>
          <w:tcPr>
            <w:tcW w:type="dxa" w:w="4153"/>
          </w:tcPr>
          <w:p>
            <w:r>
              <w:t>Entrada em produção do projeto.</w:t>
            </w:r>
          </w:p>
        </w:tc>
      </w:tr>
      <w:tr>
        <w:tc>
          <w:tcPr>
            <w:tcW w:type="dxa" w:w="4153"/>
          </w:tcPr>
          <w:p>
            <w:r>
              <w:t>SLA</w:t>
            </w:r>
          </w:p>
        </w:tc>
        <w:tc>
          <w:tcPr>
            <w:tcW w:type="dxa" w:w="4153"/>
          </w:tcPr>
          <w:p>
            <w:r>
              <w:t>Prazo, em dias úteis, esperado para concluir uma etapa.</w:t>
            </w:r>
          </w:p>
        </w:tc>
      </w:tr>
      <w:tr>
        <w:tc>
          <w:tcPr>
            <w:tcW w:type="dxa" w:w="4153"/>
          </w:tcPr>
          <w:p>
            <w:r>
              <w:t>Porte</w:t>
            </w:r>
          </w:p>
        </w:tc>
        <w:tc>
          <w:tcPr>
            <w:tcW w:type="dxa" w:w="4153"/>
          </w:tcPr>
          <w:p>
            <w:r>
              <w:t>Classificação do projeto, calculada automaticamente a partir da quantidade de horas.</w:t>
            </w:r>
          </w:p>
        </w:tc>
      </w:tr>
      <w:tr>
        <w:tc>
          <w:tcPr>
            <w:tcW w:type="dxa" w:w="4153"/>
          </w:tcPr>
          <w:p>
            <w:r>
              <w:t>GROW / REG / RUN</w:t>
            </w:r>
          </w:p>
        </w:tc>
        <w:tc>
          <w:tcPr>
            <w:tcW w:type="dxa" w:w="4153"/>
          </w:tcPr>
          <w:p>
            <w:r>
              <w:t>Qualificação: crescimento, regulatório, manutenção/operação.</w:t>
            </w:r>
          </w:p>
        </w:tc>
      </w:tr>
      <w:tr>
        <w:tc>
          <w:tcPr>
            <w:tcW w:type="dxa" w:w="4153"/>
          </w:tcPr>
          <w:p>
            <w:r>
              <w:t>Produto</w:t>
            </w:r>
          </w:p>
        </w:tc>
        <w:tc>
          <w:tcPr>
            <w:tcW w:type="dxa" w:w="4153"/>
          </w:tcPr>
          <w:p>
            <w:r>
              <w:t>Categoria de negócio obrigatória de toda demanda (Cadastro de Produtos).</w:t>
            </w:r>
          </w:p>
        </w:tc>
      </w:tr>
      <w:tr>
        <w:tc>
          <w:tcPr>
            <w:tcW w:type="dxa" w:w="4153"/>
          </w:tcPr>
          <w:p>
            <w:r>
              <w:t>Não Classificado</w:t>
            </w:r>
          </w:p>
        </w:tc>
        <w:tc>
          <w:tcPr>
            <w:tcW w:type="dxa" w:w="4153"/>
          </w:tcPr>
          <w:p>
            <w:r>
              <w:t>Produto reservado dos projetos antigos migrados; não escolhível em demandas novas.</w:t>
            </w:r>
          </w:p>
        </w:tc>
      </w:tr>
      <w:tr>
        <w:tc>
          <w:tcPr>
            <w:tcW w:type="dxa" w:w="4153"/>
          </w:tcPr>
          <w:p>
            <w:r>
              <w:t>Agrupamento de Orçamento</w:t>
            </w:r>
          </w:p>
        </w:tc>
        <w:tc>
          <w:tcPr>
            <w:tcW w:type="dxa" w:w="4153"/>
          </w:tcPr>
          <w:p>
            <w:r>
              <w:t>Modo de organizar a visão de orçamento: por Ano Fiscal, Área ou Produto.</w:t>
            </w:r>
          </w:p>
        </w:tc>
      </w:tr>
      <w:tr>
        <w:tc>
          <w:tcPr>
            <w:tcW w:type="dxa" w:w="4153"/>
          </w:tcPr>
          <w:p>
            <w:r>
              <w:t>Subgrupo</w:t>
            </w:r>
          </w:p>
        </w:tc>
        <w:tc>
          <w:tcPr>
            <w:tcW w:type="dxa" w:w="4153"/>
          </w:tcPr>
          <w:p>
            <w:r>
              <w:t>A Área ou o Produto específico usado como recorte quando o agrupamento não é "Ano Fiscal".</w:t>
            </w:r>
          </w:p>
        </w:tc>
      </w:tr>
      <w:tr>
        <w:tc>
          <w:tcPr>
            <w:tcW w:type="dxa" w:w="4153"/>
          </w:tcPr>
          <w:p>
            <w:r>
              <w:t>Ajuste de Orçamento</w:t>
            </w:r>
          </w:p>
        </w:tc>
        <w:tc>
          <w:tcPr>
            <w:tcW w:type="dxa" w:w="4153"/>
          </w:tcPr>
          <w:p>
            <w:r>
              <w:t>Autorização formal registrada para mover orçamento entre subgrupos diferentes.</w:t>
            </w:r>
          </w:p>
        </w:tc>
      </w:tr>
      <w:tr>
        <w:tc>
          <w:tcPr>
            <w:tcW w:type="dxa" w:w="4153"/>
          </w:tcPr>
          <w:p>
            <w:r>
              <w:t>Modo de Controle Orçamentário</w:t>
            </w:r>
          </w:p>
        </w:tc>
        <w:tc>
          <w:tcPr>
            <w:tcW w:type="dxa" w:w="4153"/>
          </w:tcPr>
          <w:p>
            <w:r>
              <w:t>Parâmetro (Ano Fiscal / Área / Produto) que define quais projetos ficam elegíveis no trade-off da Demanda Extraordinária. Ver 15.9.</w:t>
            </w:r>
          </w:p>
        </w:tc>
      </w:tr>
      <w:tr>
        <w:tc>
          <w:tcPr>
            <w:tcW w:type="dxa" w:w="4153"/>
          </w:tcPr>
          <w:p>
            <w:r>
              <w:t>Validação de Trade-off</w:t>
            </w:r>
          </w:p>
        </w:tc>
        <w:tc>
          <w:tcPr>
            <w:tcW w:type="dxa" w:w="4153"/>
          </w:tcPr>
          <w:p>
            <w:r>
              <w:t>Fila de aprovação (menu Ano Fiscal) das simulações de trade-off que cruzam Área/Produto quando o modo de controle não é "Ano Fiscal". Ver 4.4.</w:t>
            </w:r>
          </w:p>
        </w:tc>
      </w:tr>
      <w:tr>
        <w:tc>
          <w:tcPr>
            <w:tcW w:type="dxa" w:w="4153"/>
          </w:tcPr>
          <w:p>
            <w:r>
              <w:t>Período do Ano Fiscal</w:t>
            </w:r>
          </w:p>
        </w:tc>
        <w:tc>
          <w:tcPr>
            <w:tcW w:type="dxa" w:w="4153"/>
          </w:tcPr>
          <w:p>
            <w:r>
              <w:t>Mês em que o Ano Fiscal começa, configurável com vigência (era abril fixo). Ver 15.10.</w:t>
            </w:r>
          </w:p>
        </w:tc>
      </w:tr>
      <w:tr>
        <w:tc>
          <w:tcPr>
            <w:tcW w:type="dxa" w:w="4153"/>
          </w:tcPr>
          <w:p>
            <w:r>
              <w:t>Extraordinário</w:t>
            </w:r>
          </w:p>
        </w:tc>
        <w:tc>
          <w:tcPr>
            <w:tcW w:type="dxa" w:w="4153"/>
          </w:tcPr>
          <w:p>
            <w:r>
              <w:t>Demanda urgente aprovada fora do ciclo normal, via trade-off.</w:t>
            </w:r>
          </w:p>
        </w:tc>
      </w:tr>
      <w:tr>
        <w:tc>
          <w:tcPr>
            <w:tcW w:type="dxa" w:w="4153"/>
          </w:tcPr>
          <w:p>
            <w:r>
              <w:t>Carryover</w:t>
            </w:r>
          </w:p>
        </w:tc>
        <w:tc>
          <w:tcPr>
            <w:tcW w:type="dxa" w:w="4153"/>
          </w:tcPr>
          <w:p>
            <w:r>
              <w:t>Marcação de que o saldo não utilizado de um projeto será levado para o próximo AF. Definido na tela Fechamento Ano Fiscal, como Carryover Desenvolvimento (segue em andamento) ou Carryover Hold (entra no próximo AF em Hold).</w:t>
            </w:r>
          </w:p>
        </w:tc>
      </w:tr>
      <w:tr>
        <w:tc>
          <w:tcPr>
            <w:tcW w:type="dxa" w:w="4153"/>
          </w:tcPr>
          <w:p>
            <w:r>
              <w:t>Fechamento de Ano Fiscal</w:t>
            </w:r>
          </w:p>
        </w:tc>
        <w:tc>
          <w:tcPr>
            <w:tcW w:type="dxa" w:w="4153"/>
          </w:tcPr>
          <w:p>
            <w:r>
              <w:t>Encerramento formal de um AF (quem/quando/comentário + log), exigido para abrir o próximo AF; diferente do fechamento do orçamento.</w:t>
            </w:r>
          </w:p>
        </w:tc>
      </w:tr>
      <w:tr>
        <w:tc>
          <w:tcPr>
            <w:tcW w:type="dxa" w:w="4153"/>
          </w:tcPr>
          <w:p>
            <w:r>
              <w:t>Pendente de Termo de Aceite</w:t>
            </w:r>
          </w:p>
        </w:tc>
        <w:tc>
          <w:tcPr>
            <w:tcW w:type="dxa" w:w="4153"/>
          </w:tcPr>
          <w:p>
            <w:r>
              <w:t>Status de um projeto que atingiu 100% no Go-Live e aguarda o Termo de Aceite para poder ser concluído.</w:t>
            </w:r>
          </w:p>
        </w:tc>
      </w:tr>
      <w:tr>
        <w:tc>
          <w:tcPr>
            <w:tcW w:type="dxa" w:w="4153"/>
          </w:tcPr>
          <w:p>
            <w:r>
              <w:t>Subprojeto</w:t>
            </w:r>
          </w:p>
        </w:tc>
        <w:tc>
          <w:tcPr>
            <w:tcW w:type="dxa" w:w="4153"/>
          </w:tcPr>
          <w:p>
            <w:r>
              <w:t>Projeto "filho" de outro, criado na fase de Execução.</w:t>
            </w:r>
          </w:p>
        </w:tc>
      </w:tr>
      <w:tr>
        <w:tc>
          <w:tcPr>
            <w:tcW w:type="dxa" w:w="4153"/>
          </w:tcPr>
          <w:p>
            <w:r>
              <w:t>CAPEX / OPEX</w:t>
            </w:r>
          </w:p>
        </w:tc>
        <w:tc>
          <w:tcPr>
            <w:tcW w:type="dxa" w:w="4153"/>
          </w:tcPr>
          <w:p>
            <w:r>
              <w:t>Classificação financeira do investimento.</w:t>
            </w:r>
          </w:p>
        </w:tc>
      </w:tr>
      <w:tr>
        <w:tc>
          <w:tcPr>
            <w:tcW w:type="dxa" w:w="4153"/>
          </w:tcPr>
          <w:p>
            <w:r>
              <w:t>NPV / ROI</w:t>
            </w:r>
          </w:p>
        </w:tc>
        <w:tc>
          <w:tcPr>
            <w:tcW w:type="dxa" w:w="4153"/>
          </w:tcPr>
          <w:p>
            <w:r>
              <w:t>Métricas usadas para quantificar um benefício declarado.</w:t>
            </w:r>
          </w:p>
        </w:tc>
      </w:tr>
      <w:tr>
        <w:tc>
          <w:tcPr>
            <w:tcW w:type="dxa" w:w="4153"/>
          </w:tcPr>
          <w:p>
            <w:r>
              <w:t>RBAC</w:t>
            </w:r>
          </w:p>
        </w:tc>
        <w:tc>
          <w:tcPr>
            <w:tcW w:type="dxa" w:w="4153"/>
          </w:tcPr>
          <w:p>
            <w:r>
              <w:t>Controle de acesso baseado em papéis.</w:t>
            </w:r>
          </w:p>
        </w:tc>
      </w:tr>
      <w:tr>
        <w:tc>
          <w:tcPr>
            <w:tcW w:type="dxa" w:w="4153"/>
          </w:tcPr>
          <w:p>
            <w:r>
              <w:t>RLS</w:t>
            </w:r>
          </w:p>
        </w:tc>
        <w:tc>
          <w:tcPr>
            <w:tcW w:type="dxa" w:w="4153"/>
          </w:tcPr>
          <w:p>
            <w:r>
              <w:t>Row Level Security — proteção de acesso aplicada no próprio banco de dados.</w:t>
            </w:r>
          </w:p>
        </w:tc>
      </w:tr>
      <w:tr>
        <w:tc>
          <w:tcPr>
            <w:tcW w:type="dxa" w:w="4153"/>
          </w:tcPr>
          <w:p>
            <w:r>
              <w:t>Atividade</w:t>
            </w:r>
          </w:p>
        </w:tc>
        <w:tc>
          <w:tcPr>
            <w:tcW w:type="dxa" w:w="4153"/>
          </w:tcPr>
          <w:p>
            <w:r>
              <w:t>Unidade mínima de controle de acesso: uma tela ou sub-aba.</w:t>
            </w:r>
          </w:p>
        </w:tc>
      </w:tr>
      <w:tr>
        <w:tc>
          <w:tcPr>
            <w:tcW w:type="dxa" w:w="4153"/>
          </w:tcPr>
          <w:p>
            <w:r>
              <w:t>Consultar / Incluir / Alterar / Deletar</w:t>
            </w:r>
          </w:p>
        </w:tc>
        <w:tc>
          <w:tcPr>
            <w:tcW w:type="dxa" w:w="4153"/>
          </w:tcPr>
          <w:p>
            <w:r>
              <w:t>As quatro permissões independentes de cada atividade.</w:t>
            </w:r>
          </w:p>
        </w:tc>
      </w:tr>
      <w:tr>
        <w:tc>
          <w:tcPr>
            <w:tcW w:type="dxa" w:w="4153"/>
          </w:tcPr>
          <w:p>
            <w:r>
              <w:t>Acesso Irrestrito</w:t>
            </w:r>
          </w:p>
        </w:tc>
        <w:tc>
          <w:tcPr>
            <w:tcW w:type="dxa" w:w="4153"/>
          </w:tcPr>
          <w:p>
            <w:r>
              <w:t>Marcação de um papel que ignora o catálogo e a restrição de área (equivale a Administrador).</w:t>
            </w:r>
          </w:p>
        </w:tc>
      </w:tr>
      <w:tr>
        <w:tc>
          <w:tcPr>
            <w:tcW w:type="dxa" w:w="4153"/>
          </w:tcPr>
          <w:p>
            <w:r>
              <w:t>Proprietário</w:t>
            </w:r>
          </w:p>
        </w:tc>
        <w:tc>
          <w:tcPr>
            <w:tcW w:type="dxa" w:w="4153"/>
          </w:tcPr>
          <w:p>
            <w:r>
              <w:t>Papel um nível acima do Administrador; único com acesso ao Licenciamento de Módulos e a Dados da Empresa Licenciada.</w:t>
            </w:r>
          </w:p>
        </w:tc>
      </w:tr>
      <w:tr>
        <w:tc>
          <w:tcPr>
            <w:tcW w:type="dxa" w:w="4153"/>
          </w:tcPr>
          <w:p>
            <w:r>
              <w:t>Licenciamento de Módulos</w:t>
            </w:r>
          </w:p>
        </w:tc>
        <w:tc>
          <w:tcPr>
            <w:tcW w:type="dxa" w:w="4153"/>
          </w:tcPr>
          <w:p>
            <w:r>
              <w:t>Interruptor por módulo (Workflow, E-mail, Financeiro, Planejamento Estratégico); módulo desligado esconde as telas para todos.</w:t>
            </w:r>
          </w:p>
        </w:tc>
      </w:tr>
      <w:tr>
        <w:tc>
          <w:tcPr>
            <w:tcW w:type="dxa" w:w="4153"/>
          </w:tcPr>
          <w:p>
            <w:r>
              <w:t>Empresa Licenciada</w:t>
            </w:r>
          </w:p>
        </w:tc>
        <w:tc>
          <w:tcPr>
            <w:tcW w:type="dxa" w:w="4153"/>
          </w:tcPr>
          <w:p>
            <w:r>
              <w:t>A empresa que contratou o Compasso — dados, identidade visual e a vigência da licença. Ver 2.7.</w:t>
            </w:r>
          </w:p>
        </w:tc>
      </w:tr>
      <w:tr>
        <w:tc>
          <w:tcPr>
            <w:tcW w:type="dxa" w:w="4153"/>
          </w:tcPr>
          <w:p>
            <w:r>
              <w:t>Vigência da Licença</w:t>
            </w:r>
          </w:p>
        </w:tc>
        <w:tc>
          <w:tcPr>
            <w:tcW w:type="dxa" w:w="4153"/>
          </w:tcPr>
          <w:p>
            <w:r>
              <w:t>Período [início, término] em que o Compasso pode ser usado. Fora dele, só a tela de renovação abre.</w:t>
            </w:r>
          </w:p>
        </w:tc>
      </w:tr>
      <w:tr>
        <w:tc>
          <w:tcPr>
            <w:tcW w:type="dxa" w:w="4153"/>
          </w:tcPr>
          <w:p>
            <w:r>
              <w:t>Código de Renovação</w:t>
            </w:r>
          </w:p>
        </w:tc>
        <w:tc>
          <w:tcPr>
            <w:tcW w:type="dxa" w:w="4153"/>
          </w:tcPr>
          <w:p>
            <w:r>
              <w:t>Token assinado pela Cognitionis que, colado pelo Proprietário e validado no servidor, estende a vigência da licença.</w:t>
            </w:r>
          </w:p>
        </w:tc>
      </w:tr>
      <w:tr>
        <w:tc>
          <w:tcPr>
            <w:tcW w:type="dxa" w:w="4153"/>
          </w:tcPr>
          <w:p>
            <w:r>
              <w:t>Vínculo de Contrato</w:t>
            </w:r>
          </w:p>
        </w:tc>
        <w:tc>
          <w:tcPr>
            <w:tcW w:type="dxa" w:w="4153"/>
          </w:tcPr>
          <w:p>
            <w:r>
              <w:t>A ligação entre um contrato terceirizado e um projeto, com valor alocado próprio.</w:t>
            </w:r>
          </w:p>
        </w:tc>
      </w:tr>
      <w:tr>
        <w:tc>
          <w:tcPr>
            <w:tcW w:type="dxa" w:w="4153"/>
          </w:tcPr>
          <w:p>
            <w:r>
              <w:t>Ocorrência de Erro</w:t>
            </w:r>
          </w:p>
        </w:tc>
        <w:tc>
          <w:tcPr>
            <w:tcW w:type="dxa" w:w="4153"/>
          </w:tcPr>
          <w:p>
            <w:r>
              <w:t>Registro de um problema no Go-Live, com ciclo Aberta → Em Solução → Resolvida.</w:t>
            </w:r>
          </w:p>
        </w:tc>
      </w:tr>
      <w:tr>
        <w:tc>
          <w:tcPr>
            <w:tcW w:type="dxa" w:w="4153"/>
          </w:tcPr>
          <w:p>
            <w:r>
              <w:t>Termo de Aceite</w:t>
            </w:r>
          </w:p>
        </w:tc>
        <w:tc>
          <w:tcPr>
            <w:tcW w:type="dxa" w:w="4153"/>
          </w:tcPr>
          <w:p>
            <w:r>
              <w:t>Registro formal do aceite de um projeto após o Go-Live.</w:t>
            </w:r>
          </w:p>
        </w:tc>
      </w:tr>
      <w:tr>
        <w:tc>
          <w:tcPr>
            <w:tcW w:type="dxa" w:w="4153"/>
          </w:tcPr>
          <w:p>
            <w:r>
              <w:t>Em Revisão</w:t>
            </w:r>
          </w:p>
        </w:tc>
        <w:tc>
          <w:tcPr>
            <w:tcW w:type="dxa" w:w="4153"/>
          </w:tcPr>
          <w:p>
            <w:r>
              <w:t>Situação de um projeto que voltou para replanejamento depois de uma reprovação.</w:t>
            </w:r>
          </w:p>
        </w:tc>
      </w:tr>
    </w:tbl>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