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7.0 — 3 de setembro de 2026</w:t>
      </w:r>
    </w:p>
    <w:p>
      <w:r>
        <w:t>Novidades da versão 7.0: (Proprietário) "Dados da Empresa Licenciada" (2.7) — cadastro da empresa que licenciou o Compasso, com nome/logo/cor exibidos no login, na tela inicial e no cabeçalho, e a vigência da licença: configuração inicial bloqueante, aviso preventivo de vencimento, tela "Licença Expirada" e renovação por código assinado. O grupo de menus de cada módulo passou a vir de uma tabela de configuração (não mais fixo no código); o Financeiro agrupa todas as funções de orçamento (Controle Orçamentário, Ajuste de Orçamento, Validação de Trade-off, Aprovar Demanda Extraordinária), e Abertura/Período do Ano Fiscal são de núcleo. 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"Dados da Empresa Licenciada" (2.7) e o Licenciamento de Módulos (2.6).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Empresa Licenciada e Vigência da Licença</w:t>
      </w:r>
    </w:p>
    <w:p>
      <w:r>
        <w:t>Onde: menu Proprietário &gt; Dados da Empresa Licenciada (só o Proprietário vê e edita).</w:t>
      </w:r>
    </w:p>
    <w:p>
      <w:r>
        <w:t>Guarda a identidade da empresa que licenciou o Compasso e o período de validade da licença: CNPJ (validado), Razão Social, Nome Fantasia, Data de Aquisição, Início e Término da Vigência, "Nome para Cabeçalhos" (exibido em MAIÚSCULAS, na cor escolhida), Cor para Exibição e Logo (PNG ou SVG, até 2 MB). O sistema recusa salvar se o início da vigência não for anterior ao término, e avisa se a cor tiver baixo contraste com o cabeçalho.</w:t>
      </w:r>
    </w:p>
    <w:p>
      <w:r>
        <w:t>O nome (e a logo, se houver) aparecem na tela de login abaixo de "Cloud Governance", na tela inicial e no menu lateral, logo abaixo da marca Compasso.</w:t>
      </w:r>
    </w:p>
    <w:p>
      <w:r>
        <w:t>Enquanto a empresa e a vigência não estiverem cadastradas, o sistema abre numa tela de configuração bloqueante: o Proprietário preenche o formulário; os demais perfis só veem "Sistema em configuração, contate o Proprietário".</w:t>
      </w:r>
    </w:p>
    <w:p>
      <w:r>
        <w:t>A cada carregamento o sistema confere se a data de hoje está dentro da vigência. A partir de N dias antes do fim (30 por padrão, configurável) aparece um aviso amarelo no topo para Proprietário/Administrador. Vencida a vigência, o sistema mostra a tela "Licença Expirada" e não abre nenhuma outra tela — só o Proprietário vê o campo de "Código de Renovação". Toda verificação que nega acesso e toda tentativa de renovação ficam registradas.</w:t>
      </w:r>
    </w:p>
    <w:p>
      <w:r>
        <w:t>Renovação: o Proprietário solicita à Cognitionis (fora do sistema), recebe um código assinado, e cola no campo "Código de Renovação". Um serviço no servidor confere a assinatura e o CNPJ e, se conferir, estende automaticamente a Data de Término da Vigência. A chave de assinatura nunca fica no navegador.</w:t>
      </w:r>
    </w:p>
    <w:p>
      <w:pPr>
        <w:pStyle w:val="Heading2"/>
      </w:pPr>
      <w:r>
        <w:t>2.8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2.9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 e a Dados da Empresa Licenciada.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Empresa Licenciada</w:t>
            </w:r>
          </w:p>
        </w:tc>
        <w:tc>
          <w:tcPr>
            <w:tcW w:type="dxa" w:w="4153"/>
          </w:tcPr>
          <w:p>
            <w:r>
              <w:t>A empresa que contratou o Compasso — dados, identidade visual e a vigência da licença. Ver 2.7.</w:t>
            </w:r>
          </w:p>
        </w:tc>
      </w:tr>
      <w:tr>
        <w:tc>
          <w:tcPr>
            <w:tcW w:type="dxa" w:w="4153"/>
          </w:tcPr>
          <w:p>
            <w:r>
              <w:t>Vigência da Licença</w:t>
            </w:r>
          </w:p>
        </w:tc>
        <w:tc>
          <w:tcPr>
            <w:tcW w:type="dxa" w:w="4153"/>
          </w:tcPr>
          <w:p>
            <w:r>
              <w:t>Período [início, término] em que o Compasso pode ser usado. Fora dele, só a tela de renovação abre.</w:t>
            </w:r>
          </w:p>
        </w:tc>
      </w:tr>
      <w:tr>
        <w:tc>
          <w:tcPr>
            <w:tcW w:type="dxa" w:w="4153"/>
          </w:tcPr>
          <w:p>
            <w:r>
              <w:t>Código de Renovação</w:t>
            </w:r>
          </w:p>
        </w:tc>
        <w:tc>
          <w:tcPr>
            <w:tcW w:type="dxa" w:w="4153"/>
          </w:tcPr>
          <w:p>
            <w:r>
              <w:t>Token assinado pela Cognitionis que, colado pelo Proprietário e validado no servidor, estende a vigência da licença.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