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color w:val="5B6770"/>
          <w:sz w:val="28"/>
          <w:szCs w:val="28"/>
        </w:rPr>
        <w:t xml:space="preserve">SimplerToday AI</w:t>
      </w:r>
    </w:p>
    <w:p>
      <w:pPr>
        <w:spacing w:after="240"/>
      </w:pPr>
      <w:r>
        <w:rPr>
          <w:rFonts w:ascii="Calibri" w:cs="Calibri" w:eastAsia="Calibri" w:hAnsi="Calibri"/>
          <w:b/>
          <w:bCs/>
          <w:color w:val="1F4E79"/>
          <w:sz w:val="52"/>
          <w:szCs w:val="52"/>
        </w:rPr>
        <w:t xml:space="preserve">Cloud Migration &amp; Model Portability Assessment</w:t>
      </w:r>
    </w:p>
    <w:p>
      <w:pPr>
        <w:spacing w:after="600"/>
      </w:pPr>
      <w:r>
        <w:rPr>
          <w:rFonts w:ascii="Calibri" w:cs="Calibri" w:eastAsia="Calibri" w:hAnsi="Calibri"/>
          <w:color w:val="1F2933"/>
          <w:sz w:val="26"/>
          <w:szCs w:val="26"/>
        </w:rPr>
        <w:t xml:space="preserve">Moving the AI service off Google Cloud onto Azure and AWS — scope, effort, cost, risk and plan</w:t>
      </w:r>
    </w:p>
    <w:p>
      <w:pPr>
        <w:pBdr>
          <w:bottom w:val="single" w:color="1F4E79" w:sz="8" w:space="1"/>
        </w:pBdr>
      </w:pP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Item</w:t>
            </w:r>
          </w:p>
        </w:tc>
        <w:tc>
          <w:tcPr>
            <w:tcW w:type="dxa" w:w="7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Detail</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Migration assessment — prepared for client review</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Service in scope</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SimplerToday AI service (outbound Socket.IO AI worker)</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Codebase</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115 modules · ~71,700 lines of Python</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Runs on today</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Google Cloud Platform + Gemini API</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Targets assessed</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Google Cloud (consolidate) · Microsoft Azure · Amazon Web Services · Portable Azure + AWS</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Version / date</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v2.0 · 30 September 2026 (supersedes v1.0 of 15 September 2026)</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Status</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Draft for discussion — figures are indicative and must be confirmed before contract</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color w:val="5B6770"/>
          <w:sz w:val="18"/>
          <w:szCs w:val="18"/>
        </w:rPr>
        <w:t xml:space="preserve">Right-click the table above and choose Update Field if page numbers do not appear.</w:t>
      </w:r>
    </w:p>
    <w:p>
      <w:pPr>
        <w:pStyle w:val="Heading1"/>
        <w:pageBreakBefore/>
      </w:pPr>
      <w:r>
        <w:rPr>
          <w:rFonts w:ascii="Calibri" w:cs="Calibri" w:eastAsia="Calibri" w:hAnsi="Calibri"/>
        </w:rPr>
        <w:t xml:space="preserve">1. Executive summary</w:t>
      </w:r>
    </w:p>
    <w:p>
      <w:pPr>
        <w:spacing w:after="120" w:line="276"/>
      </w:pPr>
      <w:r>
        <w:rPr>
          <w:rFonts w:ascii="Calibri" w:cs="Calibri" w:eastAsia="Calibri" w:hAnsi="Calibri"/>
          <w:color w:val="1F2933"/>
          <w:sz w:val="21"/>
          <w:szCs w:val="21"/>
        </w:rPr>
        <w:t xml:space="preserve">The brief is to move the SimplerToday AI service off Google Cloud and onto Microsoft Azure and Amazon Web Services, and to make the service </w:t>
      </w:r>
      <w:r>
        <w:rPr>
          <w:rFonts w:ascii="Calibri" w:cs="Calibri" w:eastAsia="Calibri" w:hAnsi="Calibri"/>
          <w:b/>
          <w:bCs/>
          <w:color w:val="1F2933"/>
          <w:sz w:val="21"/>
          <w:szCs w:val="21"/>
        </w:rPr>
        <w:t xml:space="preserve">model-portable</w:t>
      </w:r>
      <w:r>
        <w:rPr>
          <w:rFonts w:ascii="Calibri" w:cs="Calibri" w:eastAsia="Calibri" w:hAnsi="Calibri"/>
          <w:color w:val="1F2933"/>
          <w:sz w:val="21"/>
          <w:szCs w:val="21"/>
        </w:rPr>
        <w:t xml:space="preserve"> — able to run on either cloud's AI models without a rewrite each time. Whichever cloud runs it, the service is to use that cloud's own services end to end: compute, storage, OCR, transcription, search and the language and embedding models.</w:t>
      </w:r>
    </w:p>
    <w:p>
      <w:pPr>
        <w:spacing w:after="120" w:line="276"/>
      </w:pPr>
      <w:r>
        <w:rPr>
          <w:rFonts w:ascii="Calibri" w:cs="Calibri" w:eastAsia="Calibri" w:hAnsi="Calibri"/>
          <w:color w:val="1F2933"/>
          <w:sz w:val="21"/>
          <w:szCs w:val="21"/>
        </w:rPr>
        <w:t xml:space="preserve">This version of the assessment re-checks the first draft (15 September) line by line against the actual codebase. Several assumptions in the first draft did not hold, and two of them change the effort materially. They are set out in section 3 and folded into every number in this document.</w:t>
      </w:r>
    </w:p>
    <w:p>
      <w:pPr>
        <w:pStyle w:val="Heading2"/>
      </w:pPr>
      <w:r>
        <w:rPr>
          <w:rFonts w:ascii="Calibri" w:cs="Calibri" w:eastAsia="Calibri" w:hAnsi="Calibri"/>
        </w:rPr>
        <w:t xml:space="preserve">1.1 The headline numbers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55"/>
        <w:gridCol w:w="3526"/>
        <w:gridCol w:w="1469"/>
        <w:gridCol w:w="1469"/>
        <w:gridCol w:w="981"/>
      </w:tblGrid>
      <w:tr>
        <w:trPr>
          <w:tblHeader/>
        </w:trPr>
        <w:tc>
          <w:tcPr>
            <w:tcW w:type="dxa" w:w="2155"/>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Option</w:t>
            </w:r>
          </w:p>
        </w:tc>
        <w:tc>
          <w:tcPr>
            <w:tcW w:type="dxa" w:w="352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What it means</w:t>
            </w:r>
          </w:p>
        </w:tc>
        <w:tc>
          <w:tcPr>
            <w:tcW w:type="dxa" w:w="1469"/>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Engineering effort</w:t>
            </w:r>
          </w:p>
        </w:tc>
        <w:tc>
          <w:tcPr>
            <w:tcW w:type="dxa" w:w="1469"/>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Run cost / month*</w:t>
            </w:r>
          </w:p>
        </w:tc>
        <w:tc>
          <w:tcPr>
            <w:tcW w:type="dxa" w:w="98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Models change</w:t>
            </w:r>
          </w:p>
        </w:tc>
      </w:tr>
      <w:tr>
        <w:trPr>
          <w:cantSplit/>
        </w:trPr>
        <w:tc>
          <w:tcPr>
            <w:tcW w:type="dxa" w:w="21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 · Consolidate on Google Cloud</w:t>
            </w:r>
          </w:p>
        </w:tc>
        <w:tc>
          <w:tcPr>
            <w:tcW w:type="dxa" w:w="35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Stay on GCP; move Gemini from an API key onto Vertex AI (enterprise terms, Mumbai residency, customer-managed keys)</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11–17 days</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$600–1,410</w:t>
            </w:r>
          </w:p>
        </w:tc>
        <w:tc>
          <w:tcPr>
            <w:tcW w:type="dxa" w:w="9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w:t>
            </w:r>
          </w:p>
        </w:tc>
      </w:tr>
      <w:tr>
        <w:trPr>
          <w:cantSplit/>
        </w:trPr>
        <w:tc>
          <w:tcPr>
            <w:tcW w:type="dxa" w:w="21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 · Azure only (single-cloud)</w:t>
            </w:r>
          </w:p>
        </w:tc>
        <w:tc>
          <w:tcPr>
            <w:tcW w:type="dxa" w:w="35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Everything on Azure, built for Azure only</w:t>
            </w:r>
          </w:p>
        </w:tc>
        <w:tc>
          <w:tcPr>
            <w:tcW w:type="dxa" w:w="1469"/>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64–99 days</w:t>
            </w:r>
          </w:p>
        </w:tc>
        <w:tc>
          <w:tcPr>
            <w:tcW w:type="dxa" w:w="1469"/>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$1,540–2,460</w:t>
            </w:r>
          </w:p>
        </w:tc>
        <w:tc>
          <w:tcPr>
            <w:tcW w:type="dxa" w:w="9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Yes</w:t>
            </w:r>
          </w:p>
        </w:tc>
      </w:tr>
      <w:tr>
        <w:trPr>
          <w:cantSplit/>
        </w:trPr>
        <w:tc>
          <w:tcPr>
            <w:tcW w:type="dxa" w:w="21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3 · AWS only (single-cloud)</w:t>
            </w:r>
          </w:p>
        </w:tc>
        <w:tc>
          <w:tcPr>
            <w:tcW w:type="dxa" w:w="35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Everything on AWS, built for AWS only</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67–103 days</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$1,520–3,710</w:t>
            </w:r>
          </w:p>
        </w:tc>
        <w:tc>
          <w:tcPr>
            <w:tcW w:type="dxa" w:w="9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Yes</w:t>
            </w:r>
          </w:p>
        </w:tc>
      </w:tr>
      <w:tr>
        <w:trPr>
          <w:cantSplit/>
        </w:trPr>
        <w:tc>
          <w:tcPr>
            <w:tcW w:type="dxa" w:w="21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4 · Portable, Azure first  (recommended)</w:t>
            </w:r>
          </w:p>
        </w:tc>
        <w:tc>
          <w:tcPr>
            <w:tcW w:type="dxa" w:w="35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Provider-neutral layer + Azure adapters; AWS can be added later without re-engineering</w:t>
            </w:r>
          </w:p>
        </w:tc>
        <w:tc>
          <w:tcPr>
            <w:tcW w:type="dxa" w:w="1469"/>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73–113 days</w:t>
            </w:r>
          </w:p>
        </w:tc>
        <w:tc>
          <w:tcPr>
            <w:tcW w:type="dxa" w:w="1469"/>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Same as Option 2</w:t>
            </w:r>
          </w:p>
        </w:tc>
        <w:tc>
          <w:tcPr>
            <w:tcW w:type="dxa" w:w="9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Yes</w:t>
            </w:r>
          </w:p>
        </w:tc>
      </w:tr>
      <w:tr>
        <w:trPr>
          <w:cantSplit/>
        </w:trPr>
        <w:tc>
          <w:tcPr>
            <w:tcW w:type="dxa" w:w="21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5 · Portable, Azure + AWS</w:t>
            </w:r>
          </w:p>
        </w:tc>
        <w:tc>
          <w:tcPr>
            <w:tcW w:type="dxa" w:w="35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Option 4 plus the AWS adapters, AWS prompt tuning and a second validated deployment</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115–180 days</w:t>
            </w:r>
          </w:p>
        </w:tc>
        <w:tc>
          <w:tcPr>
            <w:tcW w:type="dxa" w:w="1469"/>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Option 2 + standby cost</w:t>
            </w:r>
          </w:p>
        </w:tc>
        <w:tc>
          <w:tcPr>
            <w:tcW w:type="dxa" w:w="9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Yes</w:t>
            </w:r>
          </w:p>
        </w:tc>
      </w:tr>
    </w:tbl>
    <w:p>
      <w:pPr>
        <w:spacing w:after="200" w:before="60"/>
      </w:pPr>
      <w:r>
        <w:rPr>
          <w:rFonts w:ascii="Calibri" w:cs="Calibri" w:eastAsia="Calibri" w:hAnsi="Calibri"/>
          <w:i/>
          <w:iCs/>
          <w:color w:val="5B6770"/>
          <w:sz w:val="18"/>
          <w:szCs w:val="18"/>
        </w:rPr>
        <w:t xml:space="preserve">* Range spans the cheaper and the flagship model choice at the modelled volume in section 8. Indicative USD list prices, Mumbai region; confirm in each provider's calculator before quoting.</w:t>
      </w:r>
    </w:p>
    <w:p>
      <w:pPr>
        <w:pStyle w:val="Heading2"/>
      </w:pPr>
      <w:r>
        <w:rPr>
          <w:rFonts w:ascii="Calibri" w:cs="Calibri" w:eastAsia="Calibri" w:hAnsi="Calibri"/>
        </w:rPr>
        <w:t xml:space="preserve">1.2 What drives the effort</w:t>
      </w:r>
    </w:p>
    <w:p>
      <w:pPr>
        <w:spacing w:after="120" w:line="276"/>
      </w:pPr>
      <w:r>
        <w:rPr>
          <w:rFonts w:ascii="Calibri" w:cs="Calibri" w:eastAsia="Calibri" w:hAnsi="Calibri"/>
          <w:color w:val="1F2933"/>
          <w:sz w:val="21"/>
          <w:szCs w:val="21"/>
        </w:rPr>
        <w:t xml:space="preserve">Moving compute, storage, OCR and transcription is predictable engineering. </w:t>
      </w:r>
      <w:r>
        <w:rPr>
          <w:rFonts w:ascii="Calibri" w:cs="Calibri" w:eastAsia="Calibri" w:hAnsi="Calibri"/>
          <w:b/>
          <w:bCs/>
          <w:color w:val="1F2933"/>
          <w:sz w:val="21"/>
          <w:szCs w:val="21"/>
        </w:rPr>
        <w:t xml:space="preserve">Moving the language model is not</w:t>
      </w:r>
      <w:r>
        <w:rPr>
          <w:rFonts w:ascii="Calibri" w:cs="Calibri" w:eastAsia="Calibri" w:hAnsi="Calibri"/>
          <w:color w:val="1F2933"/>
          <w:sz w:val="21"/>
          <w:szCs w:val="21"/>
        </w:rPr>
        <w:t xml:space="preserve">, and under a single-cloud rule it cannot be avoided: every prompt, every JSON output contract and the safety posture were built against Gemini. That work — and the quality proof that must follow it — is roughly half the effort and most of the risk on every non-Google option.</w:t>
      </w:r>
    </w:p>
    <w:p>
      <w:pPr>
        <w:spacing w:after="120" w:line="276"/>
      </w:pPr>
      <w:r>
        <w:rPr>
          <w:rFonts w:ascii="Calibri" w:cs="Calibri" w:eastAsia="Calibri" w:hAnsi="Calibri"/>
          <w:color w:val="1F2933"/>
          <w:sz w:val="21"/>
          <w:szCs w:val="21"/>
        </w:rPr>
        <w:t xml:space="preserve">Model portability adds a one-time cost of roughly </w:t>
      </w:r>
      <w:r>
        <w:rPr>
          <w:rFonts w:ascii="Calibri" w:cs="Calibri" w:eastAsia="Calibri" w:hAnsi="Calibri"/>
          <w:b/>
          <w:bCs/>
          <w:color w:val="1F2933"/>
          <w:sz w:val="21"/>
          <w:szCs w:val="21"/>
        </w:rPr>
        <w:t xml:space="preserve">9–14 days</w:t>
      </w:r>
      <w:r>
        <w:rPr>
          <w:rFonts w:ascii="Calibri" w:cs="Calibri" w:eastAsia="Calibri" w:hAnsi="Calibri"/>
          <w:color w:val="1F2933"/>
          <w:sz w:val="21"/>
          <w:szCs w:val="21"/>
        </w:rPr>
        <w:t xml:space="preserve"> over a single-cloud Azure build. In return, the second cloud costs </w:t>
      </w:r>
      <w:r>
        <w:rPr>
          <w:rFonts w:ascii="Calibri" w:cs="Calibri" w:eastAsia="Calibri" w:hAnsi="Calibri"/>
          <w:b/>
          <w:bCs/>
          <w:color w:val="1F2933"/>
          <w:sz w:val="21"/>
          <w:szCs w:val="21"/>
        </w:rPr>
        <w:t xml:space="preserve">42–66 days instead of a second full migration</w:t>
      </w:r>
      <w:r>
        <w:rPr>
          <w:rFonts w:ascii="Calibri" w:cs="Calibri" w:eastAsia="Calibri" w:hAnsi="Calibri"/>
          <w:color w:val="1F2933"/>
          <w:sz w:val="21"/>
          <w:szCs w:val="21"/>
        </w:rPr>
        <w:t xml:space="preserve">, and the product is no longer locked to any one model vendor.</w:t>
      </w:r>
    </w:p>
    <w:p>
      <w:pPr>
        <w:pStyle w:val="Heading2"/>
      </w:pPr>
      <w:r>
        <w:rPr>
          <w:rFonts w:ascii="Calibri" w:cs="Calibri" w:eastAsia="Calibri" w:hAnsi="Calibri"/>
        </w:rPr>
        <w:t xml:space="preserve">1.3 Our recommendation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1E6B3A" w:sz="24"/>
              <w:bottom w:val="none" w:color="FFFFFF" w:sz="0"/>
              <w:right w:val="none" w:color="FFFFFF" w:sz="0"/>
            </w:tcBorders>
            <w:shd w:fill="E3F2E8" w:color="auto" w:val="clear"/>
            <w:tcMar>
              <w:top w:type="dxa" w:w="140"/>
              <w:left w:type="dxa" w:w="220"/>
              <w:bottom w:type="dxa" w:w="140"/>
              <w:right w:type="dxa" w:w="220"/>
            </w:tcMar>
          </w:tcPr>
          <w:p>
            <w:pPr>
              <w:spacing w:after="80"/>
            </w:pPr>
            <w:r>
              <w:rPr>
                <w:rFonts w:ascii="Calibri" w:cs="Calibri" w:eastAsia="Calibri" w:hAnsi="Calibri"/>
                <w:b/>
                <w:bCs/>
                <w:color w:val="1E6B3A"/>
                <w:sz w:val="21"/>
                <w:szCs w:val="21"/>
              </w:rPr>
              <w:t xml:space="preserve">Recommendation</w:t>
            </w:r>
          </w:p>
          <w:p>
            <w:pPr>
              <w:spacing w:after="60" w:line="276"/>
            </w:pPr>
            <w:r>
              <w:rPr>
                <w:rFonts w:ascii="Calibri" w:cs="Calibri" w:eastAsia="Calibri" w:hAnsi="Calibri"/>
                <w:b/>
                <w:bCs/>
                <w:color w:val="1F2933"/>
                <w:sz w:val="21"/>
                <w:szCs w:val="21"/>
              </w:rPr>
              <w:t xml:space="preserve">If leaving Google is a preference, not a requirement:</w:t>
            </w:r>
            <w:r>
              <w:rPr>
                <w:rFonts w:ascii="Calibri" w:cs="Calibri" w:eastAsia="Calibri" w:hAnsi="Calibri"/>
                <w:color w:val="1F2933"/>
                <w:sz w:val="21"/>
                <w:szCs w:val="21"/>
              </w:rPr>
              <w:t xml:space="preserve"> Option 1. It delivers enterprise terms, Mumbai data residency and customer-managed encryption in about three weeks, with no change to output quality.</w:t>
            </w:r>
          </w:p>
          <w:p>
            <w:pPr>
              <w:spacing w:after="60" w:line="276"/>
            </w:pPr>
            <w:r>
              <w:rPr>
                <w:rFonts w:ascii="Calibri" w:cs="Calibri" w:eastAsia="Calibri" w:hAnsi="Calibri"/>
                <w:b/>
                <w:bCs/>
                <w:color w:val="1F2933"/>
                <w:sz w:val="21"/>
                <w:szCs w:val="21"/>
              </w:rPr>
              <w:t xml:space="preserve">If Google must go:</w:t>
            </w:r>
            <w:r>
              <w:rPr>
                <w:rFonts w:ascii="Calibri" w:cs="Calibri" w:eastAsia="Calibri" w:hAnsi="Calibri"/>
                <w:color w:val="1F2933"/>
                <w:sz w:val="21"/>
                <w:szCs w:val="21"/>
              </w:rPr>
              <w:t xml:space="preserve"> Option 4 — build the portable layer and ship </w:t>
            </w:r>
            <w:r>
              <w:rPr>
                <w:rFonts w:ascii="Calibri" w:cs="Calibri" w:eastAsia="Calibri" w:hAnsi="Calibri"/>
                <w:b/>
                <w:bCs/>
                <w:color w:val="1F2933"/>
                <w:sz w:val="21"/>
                <w:szCs w:val="21"/>
              </w:rPr>
              <w:t xml:space="preserve">Azure first</w:t>
            </w:r>
            <w:r>
              <w:rPr>
                <w:rFonts w:ascii="Calibri" w:cs="Calibri" w:eastAsia="Calibri" w:hAnsi="Calibri"/>
                <w:color w:val="1F2933"/>
                <w:sz w:val="21"/>
                <w:szCs w:val="21"/>
              </w:rPr>
              <w:t xml:space="preserve">. Azure has a direct replacement for Google Search grounding, no download-link expiry problem, and a lower bill than AWS. Add AWS (Option 5) only when a specific client, contract or enterprise agreement requires it; the portable layer makes that a bounded, separately-quotable piece of work.</w:t>
            </w:r>
          </w:p>
          <w:p>
            <w:pPr>
              <w:spacing w:after="60" w:line="276"/>
            </w:pPr>
            <w:r>
              <w:rPr>
                <w:rFonts w:ascii="Calibri" w:cs="Calibri" w:eastAsia="Calibri" w:hAnsi="Calibri"/>
                <w:b/>
                <w:bCs/>
                <w:color w:val="1F2933"/>
                <w:sz w:val="21"/>
                <w:szCs w:val="21"/>
              </w:rPr>
              <w:t xml:space="preserve">In every option:</w:t>
            </w:r>
            <w:r>
              <w:rPr>
                <w:rFonts w:ascii="Calibri" w:cs="Calibri" w:eastAsia="Calibri" w:hAnsi="Calibri"/>
                <w:color w:val="1F2933"/>
                <w:sz w:val="21"/>
                <w:szCs w:val="21"/>
              </w:rPr>
              <w:t xml:space="preserve"> budget the quality-evaluation harness (section 3, finding F-2) before any prompt work begins. Without it, "output quality is unchanged" cannot be demonstrated.</w:t>
            </w:r>
          </w:p>
        </w:tc>
      </w:tr>
    </w:tbl>
    <w:p>
      <w:pPr>
        <w:pStyle w:val="Heading2"/>
      </w:pPr>
      <w:r>
        <w:rPr>
          <w:rFonts w:ascii="Calibri" w:cs="Calibri" w:eastAsia="Calibri" w:hAnsi="Calibri"/>
        </w:rPr>
        <w:t xml:space="preserve">1.4 The one decision that changes the number most</w:t>
      </w:r>
    </w:p>
    <w:p>
      <w:pPr>
        <w:spacing w:after="120" w:line="276"/>
      </w:pPr>
      <w:r>
        <w:rPr>
          <w:rFonts w:ascii="Calibri" w:cs="Calibri" w:eastAsia="Calibri" w:hAnsi="Calibri"/>
          <w:color w:val="1F2933"/>
          <w:sz w:val="21"/>
          <w:szCs w:val="21"/>
        </w:rPr>
        <w:t xml:space="preserve">"Azure and AWS" can mean three different things, and the service as written supports only one of them without further work (see finding F-5):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rPr>
          <w:tblHeader/>
        </w:trPr>
        <w:tc>
          <w:tcPr>
            <w:tcW w:type="dxa" w:w="48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Operating model</w:t>
            </w:r>
          </w:p>
        </w:tc>
        <w:tc>
          <w:tcPr>
            <w:tcW w:type="dxa" w:w="24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Supported as written?</w:t>
            </w:r>
          </w:p>
        </w:tc>
        <w:tc>
          <w:tcPr>
            <w:tcW w:type="dxa" w:w="24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Extra effort</w:t>
            </w:r>
          </w:p>
        </w:tc>
      </w:tr>
      <w:tr>
        <w:trPr>
          <w:cantSplit/>
        </w:trPr>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One cloud live, the other ready to switch to (active / standby)</w:t>
            </w:r>
          </w:p>
        </w:tc>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Yes</w:t>
            </w:r>
          </w:p>
        </w:tc>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Included in Option 5</w:t>
            </w:r>
          </w:p>
        </w:tc>
      </w:tr>
      <w:tr>
        <w:trPr>
          <w:cantSplit/>
        </w:trPr>
        <w:tc>
          <w:tcPr>
            <w:tcW w:type="dxa" w:w="48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Different clients served from different clouds (per-client deployment, backend routes)</w:t>
            </w:r>
          </w:p>
        </w:tc>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Yes, with backend routing</w:t>
            </w:r>
          </w:p>
        </w:tc>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+3–5 days, plus backend-team work</w:t>
            </w:r>
          </w:p>
        </w:tc>
      </w:tr>
      <w:tr>
        <w:trPr>
          <w:cantSplit/>
        </w:trPr>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Both clouds serving the same clients at the same time (active / active)</w:t>
            </w:r>
          </w:p>
        </w:tc>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No</w:t>
            </w:r>
          </w:p>
        </w:tc>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+15–20 days re-architecture</w:t>
            </w:r>
          </w:p>
        </w:tc>
      </w:tr>
    </w:tbl>
    <w:p>
      <w:pPr>
        <w:pStyle w:val="Heading1"/>
        <w:pageBreakBefore/>
      </w:pPr>
      <w:r>
        <w:rPr>
          <w:rFonts w:ascii="Calibri" w:cs="Calibri" w:eastAsia="Calibri" w:hAnsi="Calibri"/>
        </w:rPr>
        <w:t xml:space="preserve">2. Scope and ground rules</w:t>
      </w:r>
    </w:p>
    <w:p>
      <w:pPr>
        <w:pStyle w:val="Heading2"/>
      </w:pPr>
      <w:r>
        <w:rPr>
          <w:rFonts w:ascii="Calibri" w:cs="Calibri" w:eastAsia="Calibri" w:hAnsi="Calibri"/>
        </w:rPr>
        <w:t xml:space="preserve">2.1 In scope</w:t>
      </w:r>
    </w:p>
    <w:p>
      <w:pPr>
        <w:pStyle w:val="ListParagraph"/>
        <w:numPr>
          <w:ilvl w:val="0"/>
          <w:numId w:val="2"/>
        </w:numPr>
        <w:spacing w:after="60" w:line="276"/>
      </w:pPr>
      <w:r>
        <w:rPr>
          <w:rFonts w:ascii="Calibri" w:cs="Calibri" w:eastAsia="Calibri" w:hAnsi="Calibri"/>
          <w:color w:val="1F2933"/>
          <w:sz w:val="21"/>
          <w:szCs w:val="21"/>
        </w:rPr>
        <w:t xml:space="preserve">The SimplerToday AI service only: the Python process that connects outbound to the application backend over Socket.IO, processes evidence, and returns the ten intelligence panels and chat replies.</w:t>
      </w:r>
    </w:p>
    <w:p>
      <w:pPr>
        <w:pStyle w:val="ListParagraph"/>
        <w:numPr>
          <w:ilvl w:val="0"/>
          <w:numId w:val="2"/>
        </w:numPr>
        <w:spacing w:after="60" w:line="276"/>
      </w:pPr>
      <w:r>
        <w:rPr>
          <w:rFonts w:ascii="Calibri" w:cs="Calibri" w:eastAsia="Calibri" w:hAnsi="Calibri"/>
          <w:color w:val="1F2933"/>
          <w:sz w:val="21"/>
          <w:szCs w:val="21"/>
        </w:rPr>
        <w:t xml:space="preserve">Every Google dependency of that service: compute, object storage, Cloud Vision OCR, Speech-to-Text V2 (Chirp 3), Vertex AI Search, Gemini language models, Gemini embeddings and Google Search grounding.</w:t>
      </w:r>
    </w:p>
    <w:p>
      <w:pPr>
        <w:pStyle w:val="ListParagraph"/>
        <w:numPr>
          <w:ilvl w:val="0"/>
          <w:numId w:val="2"/>
        </w:numPr>
        <w:spacing w:after="60" w:line="276"/>
      </w:pPr>
      <w:r>
        <w:rPr>
          <w:rFonts w:ascii="Calibri" w:cs="Calibri" w:eastAsia="Calibri" w:hAnsi="Calibri"/>
          <w:color w:val="1F2933"/>
          <w:sz w:val="21"/>
          <w:szCs w:val="21"/>
        </w:rPr>
        <w:t xml:space="preserve">A provider-neutral abstraction ("portability layer") so the service can run on Azure or AWS models and services selected by configuration.</w:t>
      </w:r>
    </w:p>
    <w:p>
      <w:pPr>
        <w:pStyle w:val="ListParagraph"/>
        <w:numPr>
          <w:ilvl w:val="0"/>
          <w:numId w:val="2"/>
        </w:numPr>
        <w:spacing w:after="60" w:line="276"/>
      </w:pPr>
      <w:r>
        <w:rPr>
          <w:rFonts w:ascii="Calibri" w:cs="Calibri" w:eastAsia="Calibri" w:hAnsi="Calibri"/>
          <w:color w:val="1F2933"/>
          <w:sz w:val="21"/>
          <w:szCs w:val="21"/>
        </w:rPr>
        <w:t xml:space="preserve">Data migration: object storage, the Qdrant vector store and stored storage pointers.</w:t>
      </w:r>
    </w:p>
    <w:p>
      <w:pPr>
        <w:pStyle w:val="ListParagraph"/>
        <w:numPr>
          <w:ilvl w:val="0"/>
          <w:numId w:val="2"/>
        </w:numPr>
        <w:spacing w:after="60" w:line="276"/>
      </w:pPr>
      <w:r>
        <w:rPr>
          <w:rFonts w:ascii="Calibri" w:cs="Calibri" w:eastAsia="Calibri" w:hAnsi="Calibri"/>
          <w:color w:val="1F2933"/>
          <w:sz w:val="21"/>
          <w:szCs w:val="21"/>
        </w:rPr>
        <w:t xml:space="preserve">Validation, cutover, rollback and handover.</w:t>
      </w:r>
    </w:p>
    <w:p>
      <w:pPr>
        <w:pStyle w:val="Heading2"/>
      </w:pPr>
      <w:r>
        <w:rPr>
          <w:rFonts w:ascii="Calibri" w:cs="Calibri" w:eastAsia="Calibri" w:hAnsi="Calibri"/>
        </w:rPr>
        <w:t xml:space="preserve">2.2 The single-cloud rule</w:t>
      </w:r>
    </w:p>
    <w:p>
      <w:pPr>
        <w:spacing w:after="120" w:line="276"/>
      </w:pPr>
      <w:r>
        <w:rPr>
          <w:rFonts w:ascii="Calibri" w:cs="Calibri" w:eastAsia="Calibri" w:hAnsi="Calibri"/>
          <w:color w:val="1F2933"/>
          <w:sz w:val="21"/>
          <w:szCs w:val="21"/>
        </w:rPr>
        <w:t xml:space="preserve">Each cloud deployment runs entirely on that cloud's services — no hybrid, no split vendors. This keeps accountability, data residency and sub-processor lists simple, but it puts the language model and the embedding model inside the scope of the move, which is where most of the cost and risk sit.</w:t>
      </w:r>
    </w:p>
    <w:p>
      <w:pPr>
        <w:pStyle w:val="Heading2"/>
      </w:pPr>
      <w:r>
        <w:rPr>
          <w:rFonts w:ascii="Calibri" w:cs="Calibri" w:eastAsia="Calibri" w:hAnsi="Calibri"/>
        </w:rPr>
        <w:t xml:space="preserve">2.3 Out of scope</w:t>
      </w:r>
    </w:p>
    <w:p>
      <w:pPr>
        <w:pStyle w:val="ListParagraph"/>
        <w:numPr>
          <w:ilvl w:val="0"/>
          <w:numId w:val="2"/>
        </w:numPr>
        <w:spacing w:after="60" w:line="276"/>
      </w:pPr>
      <w:r>
        <w:rPr>
          <w:rFonts w:ascii="Calibri" w:cs="Calibri" w:eastAsia="Calibri" w:hAnsi="Calibri"/>
          <w:color w:val="1F2933"/>
          <w:sz w:val="21"/>
          <w:szCs w:val="21"/>
        </w:rPr>
        <w:t xml:space="preserve">The application backend and its database and file storage (a separate assessment if it is also moving).</w:t>
      </w:r>
    </w:p>
    <w:p>
      <w:pPr>
        <w:pStyle w:val="ListParagraph"/>
        <w:numPr>
          <w:ilvl w:val="0"/>
          <w:numId w:val="2"/>
        </w:numPr>
        <w:spacing w:after="60" w:line="276"/>
      </w:pPr>
      <w:r>
        <w:rPr>
          <w:rFonts w:ascii="Calibri" w:cs="Calibri" w:eastAsia="Calibri" w:hAnsi="Calibri"/>
          <w:color w:val="1F2933"/>
          <w:sz w:val="21"/>
          <w:szCs w:val="21"/>
        </w:rPr>
        <w:t xml:space="preserve">High availability or multi-region deployment (see R-04).</w:t>
      </w:r>
    </w:p>
    <w:p>
      <w:pPr>
        <w:pStyle w:val="ListParagraph"/>
        <w:numPr>
          <w:ilvl w:val="0"/>
          <w:numId w:val="2"/>
        </w:numPr>
        <w:spacing w:after="60" w:line="276"/>
      </w:pPr>
      <w:r>
        <w:rPr>
          <w:rFonts w:ascii="Calibri" w:cs="Calibri" w:eastAsia="Calibri" w:hAnsi="Calibri"/>
          <w:color w:val="1F2933"/>
          <w:sz w:val="21"/>
          <w:szCs w:val="21"/>
        </w:rPr>
        <w:t xml:space="preserve">Any deliberate change to product behaviour or feature scope.</w:t>
      </w:r>
    </w:p>
    <w:p>
      <w:pPr>
        <w:pStyle w:val="ListParagraph"/>
        <w:numPr>
          <w:ilvl w:val="0"/>
          <w:numId w:val="2"/>
        </w:numPr>
        <w:spacing w:after="60" w:line="276"/>
      </w:pPr>
      <w:r>
        <w:rPr>
          <w:rFonts w:ascii="Calibri" w:cs="Calibri" w:eastAsia="Calibri" w:hAnsi="Calibri"/>
          <w:color w:val="1F2933"/>
          <w:sz w:val="21"/>
          <w:szCs w:val="21"/>
        </w:rPr>
        <w:t xml:space="preserve">The vendored Keel knowledge-plane copy, which does not run as part of this service.</w:t>
      </w:r>
    </w:p>
    <w:p>
      <w:pPr>
        <w:pStyle w:val="ListParagraph"/>
        <w:numPr>
          <w:ilvl w:val="0"/>
          <w:numId w:val="2"/>
        </w:numPr>
        <w:spacing w:after="60" w:line="276"/>
      </w:pPr>
      <w:r>
        <w:rPr>
          <w:rFonts w:ascii="Calibri" w:cs="Calibri" w:eastAsia="Calibri" w:hAnsi="Calibri"/>
          <w:color w:val="1F2933"/>
          <w:sz w:val="21"/>
          <w:szCs w:val="21"/>
        </w:rPr>
        <w:t xml:space="preserve">Firm infrastructure pricing — section 8 is an indicative comparison model, not a quote.</w:t>
      </w:r>
    </w:p>
    <w:p>
      <w:pPr>
        <w:pStyle w:val="Heading1"/>
        <w:pageBreakBefore/>
      </w:pPr>
      <w:r>
        <w:rPr>
          <w:rFonts w:ascii="Calibri" w:cs="Calibri" w:eastAsia="Calibri" w:hAnsi="Calibri"/>
        </w:rPr>
        <w:t xml:space="preserve">3. What the codebase review found</w:t>
      </w:r>
    </w:p>
    <w:p>
      <w:pPr>
        <w:spacing w:after="120" w:line="276"/>
      </w:pPr>
      <w:r>
        <w:rPr>
          <w:rFonts w:ascii="Calibri" w:cs="Calibri" w:eastAsia="Calibri" w:hAnsi="Calibri"/>
          <w:color w:val="1F2933"/>
          <w:sz w:val="21"/>
          <w:szCs w:val="21"/>
        </w:rPr>
        <w:t xml:space="preserve">The first draft of this assessment made several assumptions about the codebase. We re-checked each against the code on the current branch. The findings below either correct those assumptions or add work that was not previously counted. Each is reflected in the effort (section 7) and cost (section 8) figures.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33"/>
        <w:gridCol w:w="5546"/>
        <w:gridCol w:w="3521"/>
      </w:tblGrid>
      <w:tr>
        <w:trPr>
          <w:tblHeader/>
        </w:trPr>
        <w:tc>
          <w:tcPr>
            <w:tcW w:type="dxa" w:w="5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t>
            </w:r>
          </w:p>
        </w:tc>
        <w:tc>
          <w:tcPr>
            <w:tcW w:type="dxa" w:w="554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Finding</w:t>
            </w:r>
          </w:p>
        </w:tc>
        <w:tc>
          <w:tcPr>
            <w:tcW w:type="dxa" w:w="352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Effect on the plan</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F-1</w:t>
            </w:r>
          </w:p>
        </w:tc>
        <w:tc>
          <w:tcPr>
            <w:tcW w:type="dxa" w:w="55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There is one language model, not two tiers.</w:t>
            </w:r>
            <w:r>
              <w:rPr>
                <w:rFonts w:ascii="Calibri" w:cs="Calibri" w:eastAsia="Calibri" w:hAnsi="Calibri"/>
                <w:b w:val="false"/>
                <w:bCs w:val="false"/>
                <w:color w:val="1F2933"/>
                <w:sz w:val="19"/>
                <w:szCs w:val="19"/>
              </w:rPr>
              <w:t xml:space="preserve"> The service calls a single configured Gemini model everywhere; the "deep reasoning" behaviour is a per-call thinking setting on the same model. The first draft's split between a Pro reasoning tier and a Flash workhorse tier (30% / 70%) does not exist in the code.</w:t>
            </w:r>
          </w:p>
        </w:tc>
        <w:tc>
          <w:tcPr>
            <w:tcW w:type="dxa" w:w="35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Run-cost figures re-modelled on a single model (section 8). Choosing flagship vs. economy is now one decision, not two. Introducing a two-tier split would be new work (≈ 2–4 days plus tuning), not migration.</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F-2</w:t>
            </w:r>
          </w:p>
        </w:tc>
        <w:tc>
          <w:tcPr>
            <w:tcW w:type="dxa" w:w="55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There is no quality-evaluation harness or golden set to re-baseline against,</w:t>
            </w:r>
            <w:r>
              <w:rPr>
                <w:rFonts w:ascii="Calibri" w:cs="Calibri" w:eastAsia="Calibri" w:hAnsi="Calibri"/>
                <w:b w:val="false"/>
                <w:bCs w:val="false"/>
                <w:color w:val="1F2933"/>
                <w:sz w:val="19"/>
                <w:szCs w:val="19"/>
              </w:rPr>
              <w:t xml:space="preserve"> and no automated test suite in the repository. Offline verification scripts exist for several socket flows and are a useful base, but nothing measures model output quality.</w:t>
            </w:r>
          </w:p>
        </w:tc>
        <w:tc>
          <w:tcPr>
            <w:tcW w:type="dxa" w:w="35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New workstream: build a golden set and evaluation harness, and integration tests around the socket handlers (9–14 days). Without it, model parity cannot be proven.</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F-3</w:t>
            </w:r>
          </w:p>
        </w:tc>
        <w:tc>
          <w:tcPr>
            <w:tcW w:type="dxa" w:w="55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The model rewrite is broader than one client file.</w:t>
            </w:r>
            <w:r>
              <w:rPr>
                <w:rFonts w:ascii="Calibri" w:cs="Calibri" w:eastAsia="Calibri" w:hAnsi="Calibri"/>
                <w:b w:val="false"/>
                <w:bCs w:val="false"/>
                <w:color w:val="1F2933"/>
                <w:sz w:val="19"/>
                <w:szCs w:val="19"/>
              </w:rPr>
              <w:t xml:space="preserve"> The shared model client (≈1,000 lines) has 77 generation call sites plus long-form continuation, grounded search, chat and embedding paths. Gemini-specific options appear throughout the callers (JSON mode ×62, system instructions ×58, thinking levels, safety settings in 12 places). Five further calls bypass the shared client and use the older, deprecated Google SDK directly.</w:t>
            </w:r>
          </w:p>
        </w:tc>
        <w:tc>
          <w:tcPr>
            <w:tcW w:type="dxa" w:w="35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Adds 2–3 days of consolidation to every non-Google option; retiring the deprecated SDK is worthwhile even on Option 1.</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F-4</w:t>
            </w:r>
          </w:p>
        </w:tc>
        <w:tc>
          <w:tcPr>
            <w:tcW w:type="dxa" w:w="55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 silent embedding-dimension fallback.</w:t>
            </w:r>
            <w:r>
              <w:rPr>
                <w:rFonts w:ascii="Calibri" w:cs="Calibri" w:eastAsia="Calibri" w:hAnsi="Calibri"/>
                <w:b w:val="false"/>
                <w:bCs w:val="false"/>
                <w:color w:val="1F2933"/>
                <w:sz w:val="19"/>
                <w:szCs w:val="19"/>
              </w:rPr>
              <w:t xml:space="preserve"> The vector store pads or truncates any embedding to 768 dimensions, and substitutes an all-zero vector on failure. A 1,536-dimension model would be silently cut down and retrieval would degrade with no error raised.</w:t>
            </w:r>
          </w:p>
        </w:tc>
        <w:tc>
          <w:tcPr>
            <w:tcW w:type="dxa" w:w="35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Must be made to fail loudly before any embedding change (≈ ½ day). Recommended now, on every option.</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F-5</w:t>
            </w:r>
          </w:p>
        </w:tc>
        <w:tc>
          <w:tcPr>
            <w:tcW w:type="dxa" w:w="55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Two live instances cannot serve the same backend.</w:t>
            </w:r>
            <w:r>
              <w:rPr>
                <w:rFonts w:ascii="Calibri" w:cs="Calibri" w:eastAsia="Calibri" w:hAnsi="Calibri"/>
                <w:b w:val="false"/>
                <w:bCs w:val="false"/>
                <w:color w:val="1F2933"/>
                <w:sz w:val="19"/>
                <w:szCs w:val="19"/>
              </w:rPr>
              <w:t xml:space="preserve"> Workspace state is held in process memory and re-sent on reconnect, so two connected services would duplicate every response. "Azure and AWS at the same time for the same clients" needs re-architecture.</w:t>
            </w:r>
          </w:p>
        </w:tc>
        <w:tc>
          <w:tcPr>
            <w:tcW w:type="dxa" w:w="35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Operating-model decision (section 1.4). Active/standby and per-client deployments work as written.</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F-6</w:t>
            </w:r>
          </w:p>
        </w:tc>
        <w:tc>
          <w:tcPr>
            <w:tcW w:type="dxa" w:w="55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Evidence ingestion is already cloud-neutral.</w:t>
            </w:r>
            <w:r>
              <w:rPr>
                <w:rFonts w:ascii="Calibri" w:cs="Calibri" w:eastAsia="Calibri" w:hAnsi="Calibri"/>
                <w:b w:val="false"/>
                <w:bCs w:val="false"/>
                <w:color w:val="1F2933"/>
                <w:sz w:val="19"/>
                <w:szCs w:val="19"/>
              </w:rPr>
              <w:t xml:space="preserve"> Case documents arrive as signed URLs from the backend and are downloaded over plain HTTPS, so any cloud can read them.</w:t>
            </w:r>
          </w:p>
        </w:tc>
        <w:tc>
          <w:tcPr>
            <w:tcW w:type="dxa" w:w="35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Reduces risk: ingestion does not depend on where the backend stores files.</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F-7</w:t>
            </w:r>
          </w:p>
        </w:tc>
        <w:tc>
          <w:tcPr>
            <w:tcW w:type="dxa" w:w="55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Audio reaches the language model only as text.</w:t>
            </w:r>
            <w:r>
              <w:rPr>
                <w:rFonts w:ascii="Calibri" w:cs="Calibri" w:eastAsia="Calibri" w:hAnsi="Calibri"/>
                <w:b w:val="false"/>
                <w:bCs w:val="false"/>
                <w:color w:val="1F2933"/>
                <w:sz w:val="19"/>
                <w:szCs w:val="19"/>
              </w:rPr>
              <w:t xml:space="preserve"> Transcription is done by the speech service; the model sees the transcript text for speaker clean-up, never raw audio.</w:t>
            </w:r>
          </w:p>
        </w:tc>
        <w:tc>
          <w:tcPr>
            <w:tcW w:type="dxa" w:w="35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 need for audio-capable models on the target clouds.</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F-8</w:t>
            </w:r>
          </w:p>
        </w:tc>
        <w:tc>
          <w:tcPr>
            <w:tcW w:type="dxa" w:w="55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Security housekeeping.</w:t>
            </w:r>
            <w:r>
              <w:rPr>
                <w:rFonts w:ascii="Calibri" w:cs="Calibri" w:eastAsia="Calibri" w:hAnsi="Calibri"/>
                <w:b w:val="false"/>
                <w:bCs w:val="false"/>
                <w:color w:val="1F2933"/>
                <w:sz w:val="19"/>
                <w:szCs w:val="19"/>
              </w:rPr>
              <w:t xml:space="preserve"> Service-account key files for Google Cloud are present in the application working tree.</w:t>
            </w:r>
          </w:p>
        </w:tc>
        <w:tc>
          <w:tcPr>
            <w:tcW w:type="dxa" w:w="35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They must be rotated and revoked as part of WS-09, not carried forward, on every option.</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8A5A00" w:sz="24"/>
              <w:bottom w:val="none" w:color="FFFFFF" w:sz="0"/>
              <w:right w:val="none" w:color="FFFFFF" w:sz="0"/>
            </w:tcBorders>
            <w:shd w:fill="FFF4DC" w:color="auto" w:val="clear"/>
            <w:tcMar>
              <w:top w:type="dxa" w:w="140"/>
              <w:left w:type="dxa" w:w="220"/>
              <w:bottom w:type="dxa" w:w="140"/>
              <w:right w:type="dxa" w:w="220"/>
            </w:tcMar>
          </w:tcPr>
          <w:p>
            <w:pPr>
              <w:spacing w:after="80"/>
            </w:pPr>
            <w:r>
              <w:rPr>
                <w:rFonts w:ascii="Calibri" w:cs="Calibri" w:eastAsia="Calibri" w:hAnsi="Calibri"/>
                <w:b/>
                <w:bCs/>
                <w:color w:val="8A5A00"/>
                <w:sz w:val="21"/>
                <w:szCs w:val="21"/>
              </w:rPr>
              <w:t xml:space="preserve">Model names and prices must be verified</w:t>
            </w:r>
          </w:p>
          <w:p>
            <w:pPr>
              <w:spacing w:after="60" w:line="276"/>
            </w:pPr>
            <w:r>
              <w:rPr>
                <w:rFonts w:ascii="Calibri" w:cs="Calibri" w:eastAsia="Calibri" w:hAnsi="Calibri"/>
                <w:color w:val="1F2933"/>
                <w:sz w:val="21"/>
                <w:szCs w:val="21"/>
              </w:rPr>
              <w:t xml:space="preserve">Model names, versions and per-token rates quoted in this document for Azure OpenAI and Amazon Bedrock are placeholders from the first draft and </w:t>
            </w:r>
            <w:r>
              <w:rPr>
                <w:rFonts w:ascii="Calibri" w:cs="Calibri" w:eastAsia="Calibri" w:hAnsi="Calibri"/>
                <w:b/>
                <w:bCs/>
                <w:color w:val="1F2933"/>
                <w:sz w:val="21"/>
                <w:szCs w:val="21"/>
              </w:rPr>
              <w:t xml:space="preserve">have not been independently verified</w:t>
            </w:r>
            <w:r>
              <w:rPr>
                <w:rFonts w:ascii="Calibri" w:cs="Calibri" w:eastAsia="Calibri" w:hAnsi="Calibri"/>
                <w:color w:val="1F2933"/>
                <w:sz w:val="21"/>
                <w:szCs w:val="21"/>
              </w:rPr>
              <w:t xml:space="preserve">. Before this goes into a contract, confirm with each provider: the current flagship and economy model on each platform, their availability in the Mumbai region, and their list prices. On Amazon Bedrock, confirm the current Claude flagship (the Opus tier) and workhorse (the Sonnet tier) model identifiers for the region.</w:t>
            </w:r>
          </w:p>
        </w:tc>
      </w:tr>
    </w:tbl>
    <w:p>
      <w:pPr>
        <w:pStyle w:val="Heading1"/>
        <w:pageBreakBefore/>
      </w:pPr>
      <w:r>
        <w:rPr>
          <w:rFonts w:ascii="Calibri" w:cs="Calibri" w:eastAsia="Calibri" w:hAnsi="Calibri"/>
        </w:rPr>
        <w:t xml:space="preserve">4. Service-by-service mapping</w:t>
      </w:r>
    </w:p>
    <w:p>
      <w:pPr>
        <w:spacing w:after="120" w:line="276"/>
      </w:pPr>
      <w:r>
        <w:rPr>
          <w:rFonts w:ascii="Calibri" w:cs="Calibri" w:eastAsia="Calibri" w:hAnsi="Calibri"/>
          <w:color w:val="1F2933"/>
          <w:sz w:val="21"/>
          <w:szCs w:val="21"/>
        </w:rPr>
        <w:t xml:space="preserve">Taken from the codebase. Under the single-cloud rule every row moves on Options 2–5, including the last three, which are the expensive 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46"/>
        <w:gridCol w:w="1940"/>
        <w:gridCol w:w="2144"/>
        <w:gridCol w:w="2144"/>
        <w:gridCol w:w="1126"/>
      </w:tblGrid>
      <w:tr>
        <w:trPr>
          <w:tblHeader/>
        </w:trPr>
        <w:tc>
          <w:tcPr>
            <w:tcW w:type="dxa" w:w="224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Capability</w:t>
            </w:r>
          </w:p>
        </w:tc>
        <w:tc>
          <w:tcPr>
            <w:tcW w:type="dxa" w:w="19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Google Cloud today</w:t>
            </w:r>
          </w:p>
        </w:tc>
        <w:tc>
          <w:tcPr>
            <w:tcW w:type="dxa" w:w="214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214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c>
          <w:tcPr>
            <w:tcW w:type="dxa" w:w="112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Parity</w:t>
            </w:r>
          </w:p>
        </w:tc>
      </w:tr>
      <w:tr>
        <w:trPr>
          <w:cantSplit/>
        </w:trPr>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Always-on AI service container</w:t>
            </w:r>
          </w:p>
        </w:tc>
        <w:tc>
          <w:tcPr>
            <w:tcW w:type="dxa" w:w="19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Container / VM</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Container Apps (min = max = 1 replica)</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ECS Fargate (1 task)</w:t>
            </w:r>
          </w:p>
        </w:tc>
        <w:tc>
          <w:tcPr>
            <w:tcW w:type="dxa" w:w="11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Direct</w:t>
            </w:r>
          </w:p>
        </w:tc>
      </w:tr>
      <w:tr>
        <w:trPr>
          <w:cantSplit/>
        </w:trPr>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Vector store and cache</w:t>
            </w:r>
          </w:p>
        </w:tc>
        <w:tc>
          <w:tcPr>
            <w:tcW w:type="dxa" w:w="19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Qdrant + Redis containers</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Same containers · Azure Cache for Redis</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Same containers · ElastiCache</w:t>
            </w:r>
          </w:p>
        </w:tc>
        <w:tc>
          <w:tcPr>
            <w:tcW w:type="dxa" w:w="11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Direct</w:t>
            </w:r>
          </w:p>
        </w:tc>
      </w:tr>
      <w:tr>
        <w:trPr>
          <w:cantSplit/>
        </w:trPr>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Draft DOCX, templates, audio staging</w:t>
            </w:r>
          </w:p>
        </w:tc>
        <w:tc>
          <w:tcPr>
            <w:tcW w:type="dxa" w:w="19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 Storage (2 buckets)</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Blob Storage (SAS: no expiry cap)</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S3 (presigned links capped at 7 days — R-01)</w:t>
            </w:r>
          </w:p>
        </w:tc>
        <w:tc>
          <w:tcPr>
            <w:tcW w:type="dxa" w:w="11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ahead</w:t>
            </w:r>
          </w:p>
        </w:tc>
      </w:tr>
      <w:tr>
        <w:trPr>
          <w:cantSplit/>
        </w:trPr>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 for scanned evidence</w:t>
            </w:r>
          </w:p>
        </w:tc>
        <w:tc>
          <w:tcPr>
            <w:tcW w:type="dxa" w:w="19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 Vision</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Document Intelligence</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Textract</w:t>
            </w:r>
          </w:p>
        </w:tc>
        <w:tc>
          <w:tcPr>
            <w:tcW w:type="dxa" w:w="11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Good, benchmark</w:t>
            </w:r>
          </w:p>
        </w:tc>
      </w:tr>
      <w:tr>
        <w:trPr>
          <w:cantSplit/>
        </w:trPr>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Audio transcription + diarization</w:t>
            </w:r>
          </w:p>
        </w:tc>
        <w:tc>
          <w:tcPr>
            <w:tcW w:type="dxa" w:w="19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Speech-to-Text V2 · Chirp 3</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Speech (batch)</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Transcribe</w:t>
            </w:r>
          </w:p>
        </w:tc>
        <w:tc>
          <w:tcPr>
            <w:tcW w:type="dxa" w:w="11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w:t>
            </w:r>
          </w:p>
        </w:tc>
      </w:tr>
      <w:tr>
        <w:trPr>
          <w:cantSplit/>
        </w:trPr>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Indian Kanoon fallback retrieval</w:t>
            </w:r>
          </w:p>
        </w:tc>
        <w:tc>
          <w:tcPr>
            <w:tcW w:type="dxa" w:w="19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Vertex AI Search</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Search + crawler, or Bing grounding with site filter</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Kendra, or crawler + OpenSearch</w:t>
            </w:r>
          </w:p>
        </w:tc>
        <w:tc>
          <w:tcPr>
            <w:tcW w:type="dxa" w:w="11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Weak both</w:t>
            </w:r>
          </w:p>
        </w:tc>
      </w:tr>
      <w:tr>
        <w:trPr>
          <w:cantSplit/>
        </w:trPr>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Web grounding for case law</w:t>
            </w:r>
          </w:p>
        </w:tc>
        <w:tc>
          <w:tcPr>
            <w:tcW w:type="dxa" w:w="19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Gemini google_search tool</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Grounding with Bing Search</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 native equivalent — must be built</w:t>
            </w:r>
          </w:p>
        </w:tc>
        <w:tc>
          <w:tcPr>
            <w:tcW w:type="dxa" w:w="11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ahead</w:t>
            </w:r>
          </w:p>
        </w:tc>
      </w:tr>
      <w:tr>
        <w:trPr>
          <w:cantSplit/>
        </w:trPr>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Workload authentication</w:t>
            </w:r>
          </w:p>
        </w:tc>
        <w:tc>
          <w:tcPr>
            <w:tcW w:type="dxa" w:w="19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Service-account key files</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Managed Identity + Key Vault</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IAM roles + Secrets Manager</w:t>
            </w:r>
          </w:p>
        </w:tc>
        <w:tc>
          <w:tcPr>
            <w:tcW w:type="dxa" w:w="11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Better both</w:t>
            </w:r>
          </w:p>
        </w:tc>
      </w:tr>
      <w:tr>
        <w:trPr>
          <w:cantSplit/>
        </w:trPr>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Language model</w:t>
            </w:r>
          </w:p>
        </w:tc>
        <w:tc>
          <w:tcPr>
            <w:tcW w:type="dxa" w:w="19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Gemini (single model)</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OpenAI (flagship or economy)</w:t>
            </w:r>
          </w:p>
        </w:tc>
        <w:tc>
          <w:tcPr>
            <w:tcW w:type="dxa" w:w="214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Bedrock — Claude (Opus or Sonnet tier)</w:t>
            </w:r>
          </w:p>
        </w:tc>
        <w:tc>
          <w:tcPr>
            <w:tcW w:type="dxa" w:w="11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Full re-tune</w:t>
            </w:r>
          </w:p>
        </w:tc>
      </w:tr>
      <w:tr>
        <w:trPr>
          <w:cantSplit/>
        </w:trPr>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 model</w:t>
            </w:r>
          </w:p>
        </w:tc>
        <w:tc>
          <w:tcPr>
            <w:tcW w:type="dxa" w:w="19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gemini-embedding-001 · 768-dim</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text-embedding-3-small · 1,536-dim</w:t>
            </w:r>
          </w:p>
        </w:tc>
        <w:tc>
          <w:tcPr>
            <w:tcW w:type="dxa" w:w="214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Titan Text Embeddings v2 · 1,024-dim</w:t>
            </w:r>
          </w:p>
        </w:tc>
        <w:tc>
          <w:tcPr>
            <w:tcW w:type="dxa" w:w="11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Full rebuild</w:t>
            </w:r>
          </w:p>
        </w:tc>
      </w:tr>
    </w:tbl>
    <w:p>
      <w:pPr>
        <w:spacing w:after="200" w:before="60"/>
      </w:pPr>
      <w:r>
        <w:rPr>
          <w:rFonts w:ascii="Calibri" w:cs="Calibri" w:eastAsia="Calibri" w:hAnsi="Calibri"/>
          <w:i/>
          <w:iCs/>
          <w:color w:val="5B6770"/>
          <w:sz w:val="18"/>
          <w:szCs w:val="18"/>
        </w:rPr>
        <w:t xml:space="preserve">Option 1 changes only the last two rows, in place: Vertex AI serves the same Gemini and embedding models, so prompts keep working and stored vectors stay valid.</w:t>
      </w:r>
    </w:p>
    <w:p>
      <w:pPr>
        <w:pStyle w:val="Heading1"/>
        <w:pageBreakBefore/>
      </w:pPr>
      <w:r>
        <w:rPr>
          <w:rFonts w:ascii="Calibri" w:cs="Calibri" w:eastAsia="Calibri" w:hAnsi="Calibri"/>
        </w:rPr>
        <w:t xml:space="preserve">5. Why the model change dominates</w:t>
      </w:r>
    </w:p>
    <w:p>
      <w:pPr>
        <w:spacing w:after="120" w:line="276"/>
      </w:pPr>
      <w:r>
        <w:rPr>
          <w:rFonts w:ascii="Calibri" w:cs="Calibri" w:eastAsia="Calibri" w:hAnsi="Calibri"/>
          <w:color w:val="1F2933"/>
          <w:sz w:val="21"/>
          <w:szCs w:val="21"/>
        </w:rPr>
        <w:t xml:space="preserve">Compute and storage moves are routine. The model move is not, for five specific reasons.</w:t>
      </w:r>
    </w:p>
    <w:p>
      <w:pPr>
        <w:pStyle w:val="Heading3"/>
      </w:pPr>
      <w:r>
        <w:rPr>
          <w:rFonts w:ascii="Calibri" w:cs="Calibri" w:eastAsia="Calibri" w:hAnsi="Calibri"/>
        </w:rPr>
        <w:t xml:space="preserve">Every prompt is tuned to one model's behaviour</w:t>
      </w:r>
    </w:p>
    <w:p>
      <w:pPr>
        <w:spacing w:after="120" w:line="276"/>
      </w:pPr>
      <w:r>
        <w:rPr>
          <w:rFonts w:ascii="Calibri" w:cs="Calibri" w:eastAsia="Calibri" w:hAnsi="Calibri"/>
          <w:color w:val="1F2933"/>
          <w:sz w:val="21"/>
          <w:szCs w:val="21"/>
        </w:rPr>
        <w:t xml:space="preserve">The prompt library (17 modules, ≈7,800 lines) carries the legal framing, the guardrails, the Indian-law statutory rules that keep repealed IPC sections out of Applicable Laws, and the JSON shapes for ten output panels. It was hardened against Gemini's specific failure modes. A different model fails in different places; every panel's output has to be re-validated and its prompt re-worked until the JSON is reliable again. The service parses model JSON in over 100 places.</w:t>
      </w:r>
    </w:p>
    <w:p>
      <w:pPr>
        <w:pStyle w:val="Heading3"/>
      </w:pPr>
      <w:r>
        <w:rPr>
          <w:rFonts w:ascii="Calibri" w:cs="Calibri" w:eastAsia="Calibri" w:hAnsi="Calibri"/>
        </w:rPr>
        <w:t xml:space="preserve">The safety configuration has no direct equivalent</w:t>
      </w:r>
    </w:p>
    <w:p>
      <w:pPr>
        <w:spacing w:after="120" w:line="276"/>
      </w:pPr>
      <w:r>
        <w:rPr>
          <w:rFonts w:ascii="Calibri" w:cs="Calibri" w:eastAsia="Calibri" w:hAnsi="Calibri"/>
          <w:color w:val="1F2933"/>
          <w:sz w:val="21"/>
          <w:szCs w:val="21"/>
        </w:rPr>
        <w:t xml:space="preserve">Legal evidence routinely trips content filters — allegations, threats, violence and medical detail are the normal material of a case file. The service disables Gemini's harm-category blocking for exactly this reason. Azure OpenAI content filtering and Bedrock Guardrails work differently and have different floors; on Azure, relaxed filtering requires an application and approval that carries lead time. Establishing an equivalent posture, and proving it on real evidence, is its own task.</w:t>
      </w:r>
    </w:p>
    <w:p>
      <w:pPr>
        <w:pStyle w:val="Heading3"/>
      </w:pPr>
      <w:r>
        <w:rPr>
          <w:rFonts w:ascii="Calibri" w:cs="Calibri" w:eastAsia="Calibri" w:hAnsi="Calibri"/>
        </w:rPr>
        <w:t xml:space="preserve">Search grounding is a Gemini feature</w:t>
      </w:r>
    </w:p>
    <w:p>
      <w:pPr>
        <w:spacing w:after="120" w:line="276"/>
      </w:pPr>
      <w:r>
        <w:rPr>
          <w:rFonts w:ascii="Calibri" w:cs="Calibri" w:eastAsia="Calibri" w:hAnsi="Calibri"/>
          <w:color w:val="1F2933"/>
          <w:sz w:val="21"/>
          <w:szCs w:val="21"/>
        </w:rPr>
        <w:t xml:space="preserve">Case-law discovery uses Gemini's built-in Google Search grounding. Azure has a direct counterpart (Grounding with Bing Search). AWS has none, so on AWS the capability has to be rebuilt from a search API plus retrieval before the feature works.</w:t>
      </w:r>
    </w:p>
    <w:p>
      <w:pPr>
        <w:pStyle w:val="Heading3"/>
      </w:pPr>
      <w:r>
        <w:rPr>
          <w:rFonts w:ascii="Calibri" w:cs="Calibri" w:eastAsia="Calibri" w:hAnsi="Calibri"/>
        </w:rPr>
        <w:t xml:space="preserve">Changing embeddings rebuilds the vector store</w:t>
      </w:r>
    </w:p>
    <w:p>
      <w:pPr>
        <w:spacing w:after="120" w:line="276"/>
      </w:pPr>
      <w:r>
        <w:rPr>
          <w:rFonts w:ascii="Calibri" w:cs="Calibri" w:eastAsia="Calibri" w:hAnsi="Calibri"/>
          <w:color w:val="1F2933"/>
          <w:sz w:val="21"/>
          <w:szCs w:val="21"/>
        </w:rPr>
        <w:t xml:space="preserve">The Qdrant collection holds 768-dimensional vectors from Gemini embeddings. Any replacement produces a different vector space; existing vectors cannot be converted. The collection is recreated and every workspace re-embedded. Because the extracted text is kept alongside the vectors, the re-embed runs from stored text — a few dollars, not a repeat of the OCR and transcription bill — but until it completes, chat and every feature that reads the vector store are degraded. Plan it as a maintenance window.</w:t>
      </w:r>
    </w:p>
    <w:p>
      <w:pPr>
        <w:pStyle w:val="Heading3"/>
      </w:pPr>
      <w:r>
        <w:rPr>
          <w:rFonts w:ascii="Calibri" w:cs="Calibri" w:eastAsia="Calibri" w:hAnsi="Calibri"/>
        </w:rPr>
        <w:t xml:space="preserve">Quality has to be measured, not assumed</w:t>
      </w:r>
    </w:p>
    <w:p>
      <w:pPr>
        <w:spacing w:after="120" w:line="276"/>
      </w:pPr>
      <w:r>
        <w:rPr>
          <w:rFonts w:ascii="Calibri" w:cs="Calibri" w:eastAsia="Calibri" w:hAnsi="Calibri"/>
          <w:color w:val="1F2933"/>
          <w:sz w:val="21"/>
          <w:szCs w:val="21"/>
        </w:rPr>
        <w:t xml:space="preserve">Finding F-2: there is no evaluation harness today. Building one — a golden set of real case files with expected outputs per panel, and an automated scorer — is a precondition for claiming equivalence after the switch.</w:t>
      </w:r>
    </w:p>
    <w:p>
      <w:pPr>
        <w:pStyle w:val="Heading1"/>
        <w:pageBreakBefore/>
      </w:pPr>
      <w:r>
        <w:rPr>
          <w:rFonts w:ascii="Calibri" w:cs="Calibri" w:eastAsia="Calibri" w:hAnsi="Calibri"/>
        </w:rPr>
        <w:t xml:space="preserve">6. Model portability — the design</w:t>
      </w:r>
    </w:p>
    <w:p>
      <w:pPr>
        <w:spacing w:after="120" w:line="276"/>
      </w:pPr>
      <w:r>
        <w:rPr>
          <w:rFonts w:ascii="Calibri" w:cs="Calibri" w:eastAsia="Calibri" w:hAnsi="Calibri"/>
          <w:color w:val="1F2933"/>
          <w:sz w:val="21"/>
          <w:szCs w:val="21"/>
        </w:rPr>
        <w:t xml:space="preserve">Portability means the service talks to </w:t>
      </w:r>
      <w:r>
        <w:rPr>
          <w:rFonts w:ascii="Calibri" w:cs="Calibri" w:eastAsia="Calibri" w:hAnsi="Calibri"/>
          <w:b/>
          <w:bCs/>
          <w:color w:val="1F2933"/>
          <w:sz w:val="21"/>
          <w:szCs w:val="21"/>
        </w:rPr>
        <w:t xml:space="preserve">capabilities</w:t>
      </w:r>
      <w:r>
        <w:rPr>
          <w:rFonts w:ascii="Calibri" w:cs="Calibri" w:eastAsia="Calibri" w:hAnsi="Calibri"/>
          <w:color w:val="1F2933"/>
          <w:sz w:val="21"/>
          <w:szCs w:val="21"/>
        </w:rPr>
        <w:t xml:space="preserve">, not vendors. Each Google-specific integration is placed behind a small interface, and each cloud supplies an adapter. The cloud in use is chosen by configuration at deployment time.</w:t>
      </w:r>
    </w:p>
    <w:p>
      <w:pPr>
        <w:pStyle w:val="Heading2"/>
      </w:pPr>
      <w:r>
        <w:rPr>
          <w:rFonts w:ascii="Calibri" w:cs="Calibri" w:eastAsia="Calibri" w:hAnsi="Calibri"/>
        </w:rPr>
        <w:t xml:space="preserve">6.1 The interfaces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6"/>
        <w:gridCol w:w="5120"/>
        <w:gridCol w:w="2774"/>
      </w:tblGrid>
      <w:tr>
        <w:trPr>
          <w:tblHeader/>
        </w:trPr>
        <w:tc>
          <w:tcPr>
            <w:tcW w:type="dxa" w:w="170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Interface</w:t>
            </w:r>
          </w:p>
        </w:tc>
        <w:tc>
          <w:tcPr>
            <w:tcW w:type="dxa" w:w="512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Covers</w:t>
            </w:r>
          </w:p>
        </w:tc>
        <w:tc>
          <w:tcPr>
            <w:tcW w:type="dxa" w:w="277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Adapters</w:t>
            </w:r>
          </w:p>
        </w:tc>
      </w:tr>
      <w:tr>
        <w:trPr>
          <w:cantSplit/>
        </w:trPr>
        <w:tc>
          <w:tcPr>
            <w:tcW w:type="dxa" w:w="170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Language model</w:t>
            </w:r>
          </w:p>
        </w:tc>
        <w:tc>
          <w:tcPr>
            <w:tcW w:type="dxa" w:w="51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Generate (plain and JSON), long-form generation with continuation on truncation, chat, grounded generation; token usage and finish reasons normalised; failures reported the same way on every provider; request time-outs</w:t>
            </w:r>
          </w:p>
        </w:tc>
        <w:tc>
          <w:tcPr>
            <w:tcW w:type="dxa" w:w="27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Gemini (Vertex) · Azure OpenAI · Amazon Bedrock</w:t>
            </w:r>
          </w:p>
        </w:tc>
      </w:tr>
      <w:tr>
        <w:trPr>
          <w:cantSplit/>
        </w:trPr>
        <w:tc>
          <w:tcPr>
            <w:tcW w:type="dxa" w:w="170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w:t>
            </w:r>
          </w:p>
        </w:tc>
        <w:tc>
          <w:tcPr>
            <w:tcW w:type="dxa" w:w="51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Single and batch embedding; declared dimension per model; one vector collection per embedding model; loud failure on dimension mismatch</w:t>
            </w:r>
          </w:p>
        </w:tc>
        <w:tc>
          <w:tcPr>
            <w:tcW w:type="dxa" w:w="27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Gemini · Azure OpenAI · Bedrock Titan</w:t>
            </w:r>
          </w:p>
        </w:tc>
      </w:tr>
      <w:tr>
        <w:trPr>
          <w:cantSplit/>
        </w:trPr>
        <w:tc>
          <w:tcPr>
            <w:tcW w:type="dxa" w:w="170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Object storage</w:t>
            </w:r>
          </w:p>
        </w:tc>
        <w:tc>
          <w:tcPr>
            <w:tcW w:type="dxa" w:w="51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Upload, download, long-lived download links, provider-neutral storage URIs (replacing hard-coded gs:// pointers)</w:t>
            </w:r>
          </w:p>
        </w:tc>
        <w:tc>
          <w:tcPr>
            <w:tcW w:type="dxa" w:w="27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 Storage · Blob Storage · S3 (+ redirect endpoint)</w:t>
            </w:r>
          </w:p>
        </w:tc>
      </w:tr>
      <w:tr>
        <w:trPr>
          <w:cantSplit/>
        </w:trPr>
        <w:tc>
          <w:tcPr>
            <w:tcW w:type="dxa" w:w="170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w:t>
            </w:r>
          </w:p>
        </w:tc>
        <w:tc>
          <w:tcPr>
            <w:tcW w:type="dxa" w:w="51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Image and PDF page to flat text, per-page metering</w:t>
            </w:r>
          </w:p>
        </w:tc>
        <w:tc>
          <w:tcPr>
            <w:tcW w:type="dxa" w:w="27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Vision · Document Intelligence · Textract</w:t>
            </w:r>
          </w:p>
        </w:tc>
      </w:tr>
      <w:tr>
        <w:trPr>
          <w:cantSplit/>
        </w:trPr>
        <w:tc>
          <w:tcPr>
            <w:tcW w:type="dxa" w:w="170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Speech-to-text</w:t>
            </w:r>
          </w:p>
        </w:tc>
        <w:tc>
          <w:tcPr>
            <w:tcW w:type="dxa" w:w="51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Batch transcription with diarization, output in the existing [MM:SS] Speaker A: format</w:t>
            </w:r>
          </w:p>
        </w:tc>
        <w:tc>
          <w:tcPr>
            <w:tcW w:type="dxa" w:w="27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Chirp 3 · AI Speech · Transcribe</w:t>
            </w:r>
          </w:p>
        </w:tc>
      </w:tr>
      <w:tr>
        <w:trPr>
          <w:cantSplit/>
        </w:trPr>
        <w:tc>
          <w:tcPr>
            <w:tcW w:type="dxa" w:w="170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 fallback</w:t>
            </w:r>
          </w:p>
        </w:tc>
        <w:tc>
          <w:tcPr>
            <w:tcW w:type="dxa" w:w="51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Query Indian Kanoon content, return passages + source links</w:t>
            </w:r>
          </w:p>
        </w:tc>
        <w:tc>
          <w:tcPr>
            <w:tcW w:type="dxa" w:w="27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Vertex AI Search · AI Search / Bing · Kendra / OpenSearch</w:t>
            </w:r>
          </w:p>
        </w:tc>
      </w:tr>
      <w:tr>
        <w:trPr>
          <w:cantSplit/>
        </w:trPr>
        <w:tc>
          <w:tcPr>
            <w:tcW w:type="dxa" w:w="170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Pricing &amp; metering</w:t>
            </w:r>
          </w:p>
        </w:tc>
        <w:tc>
          <w:tcPr>
            <w:tcW w:type="dxa" w:w="51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Per-provider rate tables and billing units, so the cost figures reported to users stay correct</w:t>
            </w:r>
          </w:p>
        </w:tc>
        <w:tc>
          <w:tcPr>
            <w:tcW w:type="dxa" w:w="27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One table per provider</w:t>
            </w:r>
          </w:p>
        </w:tc>
      </w:tr>
    </w:tbl>
    <w:p>
      <w:pPr>
        <w:pStyle w:val="Heading2"/>
      </w:pPr>
      <w:r>
        <w:rPr>
          <w:rFonts w:ascii="Calibri" w:cs="Calibri" w:eastAsia="Calibri" w:hAnsi="Calibri"/>
        </w:rPr>
        <w:t xml:space="preserve">6.2 What is shared, and what is per cloud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Built once (shared)</w:t>
            </w:r>
          </w:p>
        </w:tc>
        <w:tc>
          <w:tcPr>
            <w:tcW w:type="dxa" w:w="48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Built per cloud</w:t>
            </w:r>
          </w:p>
        </w:tc>
      </w:tr>
      <w:tr>
        <w:trPr>
          <w:cantSplit/>
        </w:trPr>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The interfaces above and the refactor of every call site onto them</w:t>
            </w:r>
          </w:p>
        </w:tc>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Adapters for each interface</w:t>
            </w:r>
          </w:p>
        </w:tc>
      </w:tr>
      <w:tr>
        <w:trPr>
          <w:cantSplit/>
        </w:trPr>
        <w:tc>
          <w:tcPr>
            <w:tcW w:type="dxa" w:w="48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Evaluation harness, golden set and socket integration tests</w:t>
            </w:r>
          </w:p>
        </w:tc>
        <w:tc>
          <w:tcPr>
            <w:tcW w:type="dxa" w:w="48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Prompt tuning against that cloud's model</w:t>
            </w:r>
          </w:p>
        </w:tc>
      </w:tr>
      <w:tr>
        <w:trPr>
          <w:cantSplit/>
        </w:trPr>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Embedding-dimension handling and the re-embed job</w:t>
            </w:r>
          </w:p>
        </w:tc>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Running the re-embed on that cloud</w:t>
            </w:r>
          </w:p>
        </w:tc>
      </w:tr>
      <w:tr>
        <w:trPr>
          <w:cantSplit/>
        </w:trPr>
        <w:tc>
          <w:tcPr>
            <w:tcW w:type="dxa" w:w="48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Retirement of the deprecated Google SDK and direct model calls</w:t>
            </w:r>
          </w:p>
        </w:tc>
        <w:tc>
          <w:tcPr>
            <w:tcW w:type="dxa" w:w="48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Safety / content-filter posture</w:t>
            </w:r>
          </w:p>
        </w:tc>
      </w:tr>
      <w:tr>
        <w:trPr>
          <w:cantSplit/>
        </w:trPr>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Configuration and secret handling pattern</w:t>
            </w:r>
          </w:p>
        </w:tc>
        <w:tc>
          <w:tcPr>
            <w:tcW w:type="dxa" w:w="48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Infrastructure, identity, observability, cutover</w:t>
            </w:r>
          </w:p>
        </w:tc>
      </w:tr>
    </w:tbl>
    <w:p>
      <w:pPr>
        <w:pStyle w:val="Heading2"/>
      </w:pPr>
      <w:r>
        <w:rPr>
          <w:rFonts w:ascii="Calibri" w:cs="Calibri" w:eastAsia="Calibri" w:hAnsi="Calibri"/>
        </w:rPr>
        <w:t xml:space="preserve">6.3 Prompt strategy</w:t>
      </w:r>
    </w:p>
    <w:p>
      <w:pPr>
        <w:spacing w:after="120" w:line="276"/>
      </w:pPr>
      <w:r>
        <w:rPr>
          <w:rFonts w:ascii="Calibri" w:cs="Calibri" w:eastAsia="Calibri" w:hAnsi="Calibri"/>
          <w:color w:val="1F2933"/>
          <w:sz w:val="21"/>
          <w:szCs w:val="21"/>
        </w:rPr>
        <w:t xml:space="preserve">Prompts stay in one library. Where a model needs different wording, a small per-provider overlay supplies it, so a legal-content fix is made once and applies to every provider. The evaluation harness runs the same golden set against each provider, which is what makes a second provider a bounded task rather than a second migration.</w:t>
      </w:r>
    </w:p>
    <w:p>
      <w:pPr>
        <w:pStyle w:val="Heading1"/>
        <w:pageBreakBefore/>
      </w:pPr>
      <w:r>
        <w:rPr>
          <w:rFonts w:ascii="Calibri" w:cs="Calibri" w:eastAsia="Calibri" w:hAnsi="Calibri"/>
        </w:rPr>
        <w:t xml:space="preserve">7. Effort estimate</w:t>
      </w:r>
    </w:p>
    <w:p>
      <w:pPr>
        <w:spacing w:after="120" w:line="276"/>
      </w:pPr>
      <w:r>
        <w:rPr>
          <w:rFonts w:ascii="Calibri" w:cs="Calibri" w:eastAsia="Calibri" w:hAnsi="Calibri"/>
          <w:color w:val="1F2933"/>
          <w:sz w:val="21"/>
          <w:szCs w:val="21"/>
        </w:rPr>
        <w:t xml:space="preserve">Engineering person-days for our team, excluding client-side approvals, procurement and cloud account provisioning. All figures include the corrections in section 3.</w:t>
      </w:r>
    </w:p>
    <w:p>
      <w:pPr>
        <w:pStyle w:val="Heading2"/>
      </w:pPr>
      <w:r>
        <w:rPr>
          <w:rFonts w:ascii="Calibri" w:cs="Calibri" w:eastAsia="Calibri" w:hAnsi="Calibri"/>
        </w:rPr>
        <w:t xml:space="preserve">7.1 Single-cloud options — workstream 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55"/>
        <w:gridCol w:w="5716"/>
        <w:gridCol w:w="970"/>
        <w:gridCol w:w="1078"/>
        <w:gridCol w:w="1081"/>
      </w:tblGrid>
      <w:tr>
        <w:trPr>
          <w:tblHeader/>
        </w:trPr>
        <w:tc>
          <w:tcPr>
            <w:tcW w:type="dxa" w:w="755"/>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ID</w:t>
            </w:r>
          </w:p>
        </w:tc>
        <w:tc>
          <w:tcPr>
            <w:tcW w:type="dxa" w:w="571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Workstream</w:t>
            </w:r>
          </w:p>
        </w:tc>
        <w:tc>
          <w:tcPr>
            <w:tcW w:type="dxa" w:w="97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GCP</w:t>
            </w:r>
          </w:p>
        </w:tc>
        <w:tc>
          <w:tcPr>
            <w:tcW w:type="dxa" w:w="1078"/>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08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WS-01</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Cloud foundation and network — account, Mumbai region, private network, NAT with static outbound IP, budget alarms</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WS-02</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Container build and always-on service — add ffmpeg and poppler, registry, service definition, CI</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WS-03</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Qdrant and Redis — persistent volume or Qdrant Cloud; snapshot, restore, verify</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WS-04</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Object storage and download links (AWS: 7-day link cap, R-01)</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3–5</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WS-05</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OCR replacement and re-benchmark on Indian court filings</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3–4</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3–4</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WS-06</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Audio transcription replacement, transcript format, Hindi–English testing</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WS-07</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Legal search fallback (spike first, R-02)</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WS-08</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Language and embedding models — client rewrite (incl. F-3 consolidation), prompt re-tune, JSON reliability, safety posture, grounding, re-embed, quality re-baseline</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20–31</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22–33</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WS-09</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Secrets, identity, rotate and revoke existing key files (F-8)</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WS-10</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Observability — logs, metrics, alarms, audit trail</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WS-11</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Cost-tracking rewrite for the new billing units</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WS-12</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Data migration and backfill of stored storage pointers</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2–4</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2–4</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WS-13</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Validation and regression — end-to-end across all events, panels, file types</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WS-14</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Cutover, rollback, runbooks, handover</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5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WS-15</w:t>
            </w:r>
          </w:p>
        </w:tc>
        <w:tc>
          <w:tcPr>
            <w:tcW w:type="dxa" w:w="571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NEW — evaluation harness, golden set, socket integration tests (F-2)</w:t>
            </w:r>
          </w:p>
        </w:tc>
        <w:tc>
          <w:tcPr>
            <w:tcW w:type="dxa" w:w="97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t>
            </w:r>
          </w:p>
        </w:tc>
        <w:tc>
          <w:tcPr>
            <w:tcW w:type="dxa" w:w="107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9–14</w:t>
            </w:r>
          </w:p>
        </w:tc>
        <w:tc>
          <w:tcPr>
            <w:tcW w:type="dxa" w:w="1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9–14</w:t>
            </w:r>
          </w:p>
        </w:tc>
      </w:tr>
      <w:tr>
        <w:trPr>
          <w:cantSplit/>
        </w:trPr>
        <w:tc>
          <w:tcPr>
            <w:tcW w:type="dxa" w:w="75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WS-16</w:t>
            </w:r>
          </w:p>
        </w:tc>
        <w:tc>
          <w:tcPr>
            <w:tcW w:type="dxa" w:w="571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NEW — embedding fail-loud fix and deprecated SDK retirement (F-3, F-4)</w:t>
            </w:r>
          </w:p>
        </w:tc>
        <w:tc>
          <w:tcPr>
            <w:tcW w:type="dxa" w:w="97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c>
          <w:tcPr>
            <w:tcW w:type="dxa" w:w="107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incl. WS-08</w:t>
            </w:r>
          </w:p>
        </w:tc>
        <w:tc>
          <w:tcPr>
            <w:tcW w:type="dxa" w:w="1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incl. WS-08</w:t>
            </w:r>
          </w:p>
        </w:tc>
      </w:tr>
      <w:tr>
        <w:trPr>
          <w:cantSplit/>
        </w:trPr>
        <w:tc>
          <w:tcPr>
            <w:tcW w:type="dxa" w:w="755"/>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c>
          <w:tcPr>
            <w:tcW w:type="dxa" w:w="571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w:t>
            </w:r>
          </w:p>
        </w:tc>
        <w:tc>
          <w:tcPr>
            <w:tcW w:type="dxa" w:w="97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11–17</w:t>
            </w:r>
          </w:p>
        </w:tc>
        <w:tc>
          <w:tcPr>
            <w:tcW w:type="dxa" w:w="1078"/>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64–99</w:t>
            </w:r>
          </w:p>
        </w:tc>
        <w:tc>
          <w:tcPr>
            <w:tcW w:type="dxa" w:w="108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67–103</w:t>
            </w:r>
          </w:p>
        </w:tc>
      </w:tr>
    </w:tbl>
    <w:p>
      <w:pPr>
        <w:spacing w:after="200" w:before="60"/>
      </w:pPr>
      <w:r>
        <w:rPr>
          <w:rFonts w:ascii="Calibri" w:cs="Calibri" w:eastAsia="Calibri" w:hAnsi="Calibri"/>
          <w:i/>
          <w:iCs/>
          <w:color w:val="5B6770"/>
          <w:sz w:val="18"/>
          <w:szCs w:val="18"/>
        </w:rPr>
        <w:t xml:space="preserve">Changes from the first draft: WS-08 +2–3 days (F-3); WS-15 and WS-16 added (F-2, F-3, F-4).</w:t>
      </w:r>
    </w:p>
    <w:p>
      <w:pPr>
        <w:pStyle w:val="Heading2"/>
      </w:pPr>
      <w:r>
        <w:rPr>
          <w:rFonts w:ascii="Calibri" w:cs="Calibri" w:eastAsia="Calibri" w:hAnsi="Calibri"/>
        </w:rPr>
        <w:t xml:space="preserve">7.2 Portable options — building-block 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80"/>
        <w:gridCol w:w="1386"/>
        <w:gridCol w:w="1173"/>
        <w:gridCol w:w="2561"/>
      </w:tblGrid>
      <w:tr>
        <w:trPr>
          <w:tblHeader/>
        </w:trPr>
        <w:tc>
          <w:tcPr>
            <w:tcW w:type="dxa" w:w="448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Block</w:t>
            </w:r>
          </w:p>
        </w:tc>
        <w:tc>
          <w:tcPr>
            <w:tcW w:type="dxa" w:w="138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17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c>
          <w:tcPr>
            <w:tcW w:type="dxa" w:w="256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Notes</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Portability layer — interfaces, call-site refactor, embedding dimension handling, storage URIs, pricing tables, configuration</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16–24 (shared)</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Built once</w:t>
            </w: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Model adapter</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Azure OpenAI; Bedrock Converse API</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Web grounding</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Bing grounding; AWS built from a search API</w:t>
            </w: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Object storage and download links</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2–4</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AWS needs a redirect endpoint (R-01)</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OCR adapter + benchmark</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Speech-to-text + diarization adapter</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Transcript format, Hindi–English testing</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Legal search fallback</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3–6</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3–6</w:t>
            </w: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Spike first (R-02)</w:t>
            </w: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Infrastructure, identity, observability</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8–12</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9–13</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WS-01/02/03/09/10/12 equivalent</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Evaluation harness, golden set, integration tests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9–14 (shared)</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Built once, reused per provider</w:t>
            </w: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Prompt re-tune and JSON reliability</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18–28</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8–13</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Second provider reuses the first's work</w:t>
            </w:r>
          </w:p>
        </w:tc>
      </w:tr>
      <w:tr>
        <w:trPr>
          <w:cantSplit/>
        </w:trPr>
        <w:tc>
          <w:tcPr>
            <w:tcW w:type="dxa" w:w="44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Safety / content-filter posture</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256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Plus Azure approval lead time</w:t>
            </w:r>
          </w:p>
        </w:tc>
      </w:tr>
      <w:tr>
        <w:trPr>
          <w:cantSplit/>
        </w:trPr>
        <w:tc>
          <w:tcPr>
            <w:tcW w:type="dxa" w:w="44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Quality re-baseline, regression, cutover</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6–9</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6–9</w:t>
            </w:r>
          </w:p>
        </w:tc>
        <w:tc>
          <w:tcPr>
            <w:tcW w:type="dxa" w:w="256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p>
        </w:tc>
      </w:tr>
      <w:tr>
        <w:trPr>
          <w:cantSplit/>
        </w:trPr>
        <w:tc>
          <w:tcPr>
            <w:tcW w:type="dxa" w:w="448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 Option 4 (Azure first)</w:t>
            </w:r>
          </w:p>
        </w:tc>
        <w:tc>
          <w:tcPr>
            <w:tcW w:type="dxa" w:w="138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73–113</w:t>
            </w:r>
          </w:p>
        </w:tc>
        <w:tc>
          <w:tcPr>
            <w:tcW w:type="dxa" w:w="117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c>
          <w:tcPr>
            <w:tcW w:type="dxa" w:w="256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r>
      <w:tr>
        <w:trPr>
          <w:cantSplit/>
        </w:trPr>
        <w:tc>
          <w:tcPr>
            <w:tcW w:type="dxa" w:w="448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 adding AWS later</w:t>
            </w:r>
          </w:p>
        </w:tc>
        <w:tc>
          <w:tcPr>
            <w:tcW w:type="dxa" w:w="138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c>
          <w:tcPr>
            <w:tcW w:type="dxa" w:w="117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42–66</w:t>
            </w:r>
          </w:p>
        </w:tc>
        <w:tc>
          <w:tcPr>
            <w:tcW w:type="dxa" w:w="256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r>
      <w:tr>
        <w:trPr>
          <w:cantSplit/>
        </w:trPr>
        <w:tc>
          <w:tcPr>
            <w:tcW w:type="dxa" w:w="448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 Option 5 (Azure + AWS)</w:t>
            </w:r>
          </w:p>
        </w:tc>
        <w:tc>
          <w:tcPr>
            <w:tcW w:type="dxa" w:w="138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115–180</w:t>
            </w:r>
          </w:p>
        </w:tc>
        <w:tc>
          <w:tcPr>
            <w:tcW w:type="dxa" w:w="117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c>
          <w:tcPr>
            <w:tcW w:type="dxa" w:w="256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Active/standby or per-client</w:t>
            </w:r>
          </w:p>
        </w:tc>
      </w:tr>
    </w:tbl>
    <w:p>
      <w:pPr>
        <w:pStyle w:val="Heading2"/>
      </w:pPr>
      <w:r>
        <w:rPr>
          <w:rFonts w:ascii="Calibri" w:cs="Calibri" w:eastAsia="Calibri" w:hAnsi="Calibri"/>
        </w:rPr>
        <w:t xml:space="preserve">7.3 Calendar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Option</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One engineer (+ part-time support)</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Two engineers</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 · Consolidate on GCP</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3 weeks</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2 weeks</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 / 3 · Single cloud</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13–21 weeks</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8–12 weeks</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4 · Portable, Azure first</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15–23 weeks</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9–13 weeks</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5 · Portable, Azure + AWS</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23–36 weeks</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13–20 weeks</w:t>
            </w:r>
          </w:p>
        </w:tc>
      </w:tr>
    </w:tbl>
    <w:p>
      <w:pPr>
        <w:spacing w:after="200" w:before="60"/>
      </w:pPr>
      <w:r>
        <w:rPr>
          <w:rFonts w:ascii="Calibri" w:cs="Calibri" w:eastAsia="Calibri" w:hAnsi="Calibri"/>
          <w:i/>
          <w:iCs/>
          <w:color w:val="5B6770"/>
          <w:sz w:val="18"/>
          <w:szCs w:val="18"/>
        </w:rPr>
        <w:t xml:space="preserve">Assumes feature work on the prompt, storage, OCR, audio and search modules is frozen for the duration — itself a business cost worth naming.</w:t>
      </w:r>
    </w:p>
    <w:p>
      <w:pPr>
        <w:pStyle w:val="Heading1"/>
        <w:pageBreakBefore/>
      </w:pPr>
      <w:r>
        <w:rPr>
          <w:rFonts w:ascii="Calibri" w:cs="Calibri" w:eastAsia="Calibri" w:hAnsi="Calibri"/>
        </w:rPr>
        <w:t xml:space="preserve">8. Cost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8A5A00" w:sz="24"/>
              <w:bottom w:val="none" w:color="FFFFFF" w:sz="0"/>
              <w:right w:val="none" w:color="FFFFFF" w:sz="0"/>
            </w:tcBorders>
            <w:shd w:fill="FFF4DC" w:color="auto" w:val="clear"/>
            <w:tcMar>
              <w:top w:type="dxa" w:w="140"/>
              <w:left w:type="dxa" w:w="220"/>
              <w:bottom w:type="dxa" w:w="140"/>
              <w:right w:type="dxa" w:w="220"/>
            </w:tcMar>
          </w:tcPr>
          <w:p>
            <w:pPr>
              <w:spacing w:after="80"/>
            </w:pPr>
            <w:r>
              <w:rPr>
                <w:rFonts w:ascii="Calibri" w:cs="Calibri" w:eastAsia="Calibri" w:hAnsi="Calibri"/>
                <w:b/>
                <w:bCs/>
                <w:color w:val="8A5A00"/>
                <w:sz w:val="21"/>
                <w:szCs w:val="21"/>
              </w:rPr>
              <w:t xml:space="preserve">Read this before quoting any figure</w:t>
            </w:r>
          </w:p>
          <w:p>
            <w:pPr>
              <w:spacing w:after="60" w:line="276"/>
            </w:pPr>
            <w:r>
              <w:rPr>
                <w:rFonts w:ascii="Calibri" w:cs="Calibri" w:eastAsia="Calibri" w:hAnsi="Calibri"/>
                <w:color w:val="1F2933"/>
                <w:sz w:val="21"/>
                <w:szCs w:val="21"/>
              </w:rPr>
              <w:t xml:space="preserve">Indicative list prices in USD for the Mumbai region, excluding free tiers, committed-use discounts, enterprise agreements and taxes. Cloud and model pricing changes frequently. Model rates for Azure and AWS are unverified placeholders (section 3). Confirm every line in the provider's calculator before it goes into a contract or client quote.</w:t>
            </w:r>
          </w:p>
        </w:tc>
      </w:tr>
    </w:tbl>
    <w:p>
      <w:pPr>
        <w:spacing w:after="120"/>
      </w:pPr>
    </w:p>
    <w:p>
      <w:pPr>
        <w:pStyle w:val="Heading2"/>
      </w:pPr>
      <w:r>
        <w:rPr>
          <w:rFonts w:ascii="Calibri" w:cs="Calibri" w:eastAsia="Calibri" w:hAnsi="Calibri"/>
        </w:rPr>
        <w:t xml:space="preserve">8.1 Fixed monthly infrastructure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14"/>
        <w:gridCol w:w="1468"/>
        <w:gridCol w:w="2597"/>
        <w:gridCol w:w="1921"/>
      </w:tblGrid>
      <w:tr>
        <w:trPr>
          <w:tblHeader/>
        </w:trPr>
        <w:tc>
          <w:tcPr>
            <w:tcW w:type="dxa" w:w="361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Line item</w:t>
            </w:r>
          </w:p>
        </w:tc>
        <w:tc>
          <w:tcPr>
            <w:tcW w:type="dxa" w:w="1468"/>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GCP</w:t>
            </w:r>
          </w:p>
        </w:tc>
        <w:tc>
          <w:tcPr>
            <w:tcW w:type="dxa" w:w="259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92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36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Application container, 2 vCPU / 8 GB, always on</w:t>
            </w:r>
          </w:p>
        </w:tc>
        <w:tc>
          <w:tcPr>
            <w:tcW w:type="dxa" w:w="14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$50–70</w:t>
            </w:r>
          </w:p>
        </w:tc>
        <w:tc>
          <w:tcPr>
            <w:tcW w:type="dxa" w:w="259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$75–90 (VM/AKS) · $180 Container Apps</w:t>
            </w:r>
          </w:p>
        </w:tc>
        <w:tc>
          <w:tcPr>
            <w:tcW w:type="dxa" w:w="19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$85–95 (Fargate)</w:t>
            </w:r>
          </w:p>
        </w:tc>
      </w:tr>
      <w:tr>
        <w:trPr>
          <w:cantSplit/>
        </w:trPr>
        <w:tc>
          <w:tcPr>
            <w:tcW w:type="dxa" w:w="36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Qdrant, 2 vCPU / 8 GB + 100 GB disk</w:t>
            </w:r>
          </w:p>
        </w:tc>
        <w:tc>
          <w:tcPr>
            <w:tcW w:type="dxa" w:w="14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$60–85</w:t>
            </w:r>
          </w:p>
        </w:tc>
        <w:tc>
          <w:tcPr>
            <w:tcW w:type="dxa" w:w="259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$85–105</w:t>
            </w:r>
          </w:p>
        </w:tc>
        <w:tc>
          <w:tcPr>
            <w:tcW w:type="dxa" w:w="19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$95–110</w:t>
            </w:r>
          </w:p>
        </w:tc>
      </w:tr>
      <w:tr>
        <w:trPr>
          <w:cantSplit/>
        </w:trPr>
        <w:tc>
          <w:tcPr>
            <w:tcW w:type="dxa" w:w="36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Redis cache, small</w:t>
            </w:r>
          </w:p>
        </w:tc>
        <w:tc>
          <w:tcPr>
            <w:tcW w:type="dxa" w:w="14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$15–25</w:t>
            </w:r>
          </w:p>
        </w:tc>
        <w:tc>
          <w:tcPr>
            <w:tcW w:type="dxa" w:w="259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$16–40</w:t>
            </w:r>
          </w:p>
        </w:tc>
        <w:tc>
          <w:tcPr>
            <w:tcW w:type="dxa" w:w="19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$25–30</w:t>
            </w:r>
          </w:p>
        </w:tc>
      </w:tr>
      <w:tr>
        <w:trPr>
          <w:cantSplit/>
        </w:trPr>
        <w:tc>
          <w:tcPr>
            <w:tcW w:type="dxa" w:w="36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Object storage, 500 GB</w:t>
            </w:r>
          </w:p>
        </w:tc>
        <w:tc>
          <w:tcPr>
            <w:tcW w:type="dxa" w:w="14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$10–13</w:t>
            </w:r>
          </w:p>
        </w:tc>
        <w:tc>
          <w:tcPr>
            <w:tcW w:type="dxa" w:w="259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$10–13</w:t>
            </w:r>
          </w:p>
        </w:tc>
        <w:tc>
          <w:tcPr>
            <w:tcW w:type="dxa" w:w="19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$12–14</w:t>
            </w:r>
          </w:p>
        </w:tc>
      </w:tr>
      <w:tr>
        <w:trPr>
          <w:cantSplit/>
        </w:trPr>
        <w:tc>
          <w:tcPr>
            <w:tcW w:type="dxa" w:w="36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NAT gateway / static egress IP</w:t>
            </w:r>
          </w:p>
        </w:tc>
        <w:tc>
          <w:tcPr>
            <w:tcW w:type="dxa" w:w="14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$32</w:t>
            </w:r>
          </w:p>
        </w:tc>
        <w:tc>
          <w:tcPr>
            <w:tcW w:type="dxa" w:w="259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$32</w:t>
            </w:r>
          </w:p>
        </w:tc>
        <w:tc>
          <w:tcPr>
            <w:tcW w:type="dxa" w:w="19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$32</w:t>
            </w:r>
          </w:p>
        </w:tc>
      </w:tr>
      <w:tr>
        <w:trPr>
          <w:cantSplit/>
        </w:trPr>
        <w:tc>
          <w:tcPr>
            <w:tcW w:type="dxa" w:w="36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Egress, 200 GB / month</w:t>
            </w:r>
          </w:p>
        </w:tc>
        <w:tc>
          <w:tcPr>
            <w:tcW w:type="dxa" w:w="14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$20–24</w:t>
            </w:r>
          </w:p>
        </w:tc>
        <w:tc>
          <w:tcPr>
            <w:tcW w:type="dxa" w:w="259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$15–18</w:t>
            </w:r>
          </w:p>
        </w:tc>
        <w:tc>
          <w:tcPr>
            <w:tcW w:type="dxa" w:w="19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$18–22</w:t>
            </w:r>
          </w:p>
        </w:tc>
      </w:tr>
      <w:tr>
        <w:trPr>
          <w:cantSplit/>
        </w:trPr>
        <w:tc>
          <w:tcPr>
            <w:tcW w:type="dxa" w:w="36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Logs and monitoring, 20 GB / month</w:t>
            </w:r>
          </w:p>
        </w:tc>
        <w:tc>
          <w:tcPr>
            <w:tcW w:type="dxa" w:w="14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$8–12</w:t>
            </w:r>
          </w:p>
        </w:tc>
        <w:tc>
          <w:tcPr>
            <w:tcW w:type="dxa" w:w="259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$40–50</w:t>
            </w:r>
          </w:p>
        </w:tc>
        <w:tc>
          <w:tcPr>
            <w:tcW w:type="dxa" w:w="192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$10–14</w:t>
            </w:r>
          </w:p>
        </w:tc>
      </w:tr>
      <w:tr>
        <w:trPr>
          <w:cantSplit/>
        </w:trPr>
        <w:tc>
          <w:tcPr>
            <w:tcW w:type="dxa" w:w="36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Container registry</w:t>
            </w:r>
          </w:p>
        </w:tc>
        <w:tc>
          <w:tcPr>
            <w:tcW w:type="dxa" w:w="14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w:t>
            </w:r>
          </w:p>
        </w:tc>
        <w:tc>
          <w:tcPr>
            <w:tcW w:type="dxa" w:w="259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w:t>
            </w:r>
          </w:p>
        </w:tc>
        <w:tc>
          <w:tcPr>
            <w:tcW w:type="dxa" w:w="192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w:t>
            </w:r>
          </w:p>
        </w:tc>
      </w:tr>
      <w:tr>
        <w:trPr>
          <w:cantSplit/>
        </w:trPr>
        <w:tc>
          <w:tcPr>
            <w:tcW w:type="dxa" w:w="361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Fixed subtotal</w:t>
            </w:r>
          </w:p>
        </w:tc>
        <w:tc>
          <w:tcPr>
            <w:tcW w:type="dxa" w:w="1468"/>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$200–266</w:t>
            </w:r>
          </w:p>
        </w:tc>
        <w:tc>
          <w:tcPr>
            <w:tcW w:type="dxa" w:w="259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$278–353</w:t>
            </w:r>
          </w:p>
        </w:tc>
        <w:tc>
          <w:tcPr>
            <w:tcW w:type="dxa" w:w="192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$277–322</w:t>
            </w:r>
          </w:p>
        </w:tc>
      </w:tr>
    </w:tbl>
    <w:p>
      <w:pPr>
        <w:spacing w:after="200" w:before="60"/>
      </w:pPr>
      <w:r>
        <w:rPr>
          <w:rFonts w:ascii="Calibri" w:cs="Calibri" w:eastAsia="Calibri" w:hAnsi="Calibri"/>
          <w:i/>
          <w:iCs/>
          <w:color w:val="5B6770"/>
          <w:sz w:val="18"/>
          <w:szCs w:val="18"/>
        </w:rPr>
        <w:t xml:space="preserve">One-year commitments (Reserved Instances, Savings Plans, committed-use discounts) cut compute lines by roughly 30–40% on any cloud; not modelled.</w:t>
      </w:r>
    </w:p>
    <w:p>
      <w:pPr>
        <w:pStyle w:val="Heading2"/>
      </w:pPr>
      <w:r>
        <w:rPr>
          <w:rFonts w:ascii="Calibri" w:cs="Calibri" w:eastAsia="Calibri" w:hAnsi="Calibri"/>
        </w:rPr>
        <w:t xml:space="preserve">8.2 Per-unit service rates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73"/>
        <w:gridCol w:w="1920"/>
        <w:gridCol w:w="2240"/>
        <w:gridCol w:w="2667"/>
      </w:tblGrid>
      <w:tr>
        <w:trPr>
          <w:tblHeader/>
        </w:trPr>
        <w:tc>
          <w:tcPr>
            <w:tcW w:type="dxa" w:w="277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Service</w:t>
            </w:r>
          </w:p>
        </w:tc>
        <w:tc>
          <w:tcPr>
            <w:tcW w:type="dxa" w:w="192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GCP</w:t>
            </w:r>
          </w:p>
        </w:tc>
        <w:tc>
          <w:tcPr>
            <w:tcW w:type="dxa" w:w="22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266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27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 OCR, per 1,000 pages</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w:t>
            </w:r>
          </w:p>
        </w:tc>
        <w:tc>
          <w:tcPr>
            <w:tcW w:type="dxa" w:w="22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w:t>
            </w:r>
          </w:p>
        </w:tc>
        <w:tc>
          <w:tcPr>
            <w:tcW w:type="dxa" w:w="266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w:t>
            </w:r>
          </w:p>
        </w:tc>
      </w:tr>
      <w:tr>
        <w:trPr>
          <w:cantSplit/>
        </w:trPr>
        <w:tc>
          <w:tcPr>
            <w:tcW w:type="dxa" w:w="27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Speech-to-text, per audio hour</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$0.96</w:t>
            </w:r>
          </w:p>
        </w:tc>
        <w:tc>
          <w:tcPr>
            <w:tcW w:type="dxa" w:w="22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w:t>
            </w:r>
          </w:p>
        </w:tc>
        <w:tc>
          <w:tcPr>
            <w:tcW w:type="dxa" w:w="266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$1.44</w:t>
            </w:r>
          </w:p>
        </w:tc>
      </w:tr>
      <w:tr>
        <w:trPr>
          <w:cantSplit/>
        </w:trPr>
        <w:tc>
          <w:tcPr>
            <w:tcW w:type="dxa" w:w="27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 fallback</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 / 1k queries</w:t>
            </w:r>
          </w:p>
        </w:tc>
        <w:tc>
          <w:tcPr>
            <w:tcW w:type="dxa" w:w="22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$75 / month fixed</w:t>
            </w:r>
          </w:p>
        </w:tc>
        <w:tc>
          <w:tcPr>
            <w:tcW w:type="dxa" w:w="266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$810 / month (Kendra) or self-built OpenSearch</w:t>
            </w:r>
          </w:p>
        </w:tc>
      </w:tr>
      <w:tr>
        <w:trPr>
          <w:cantSplit/>
        </w:trPr>
        <w:tc>
          <w:tcPr>
            <w:tcW w:type="dxa" w:w="27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 per 1M tokens</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$0.15</w:t>
            </w:r>
          </w:p>
        </w:tc>
        <w:tc>
          <w:tcPr>
            <w:tcW w:type="dxa" w:w="22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$0.02</w:t>
            </w:r>
          </w:p>
        </w:tc>
        <w:tc>
          <w:tcPr>
            <w:tcW w:type="dxa" w:w="266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$0.02</w:t>
            </w:r>
          </w:p>
        </w:tc>
      </w:tr>
      <w:tr>
        <w:trPr>
          <w:cantSplit/>
        </w:trPr>
        <w:tc>
          <w:tcPr>
            <w:tcW w:type="dxa" w:w="27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Web grounding, per 1,000 requests</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$14.00</w:t>
            </w:r>
          </w:p>
        </w:tc>
        <w:tc>
          <w:tcPr>
            <w:tcW w:type="dxa" w:w="22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Bing grounding, per transaction</w:t>
            </w:r>
          </w:p>
        </w:tc>
        <w:tc>
          <w:tcPr>
            <w:tcW w:type="dxa" w:w="266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 native equivalent</w:t>
            </w:r>
          </w:p>
        </w:tc>
      </w:tr>
      <w:tr>
        <w:trPr>
          <w:cantSplit/>
        </w:trPr>
        <w:tc>
          <w:tcPr>
            <w:tcW w:type="dxa" w:w="27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Flagship model, per 1M tokens in / out</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 / $12.00</w:t>
            </w:r>
          </w:p>
        </w:tc>
        <w:tc>
          <w:tcPr>
            <w:tcW w:type="dxa" w:w="22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$4.00 / $20.00 †</w:t>
            </w:r>
          </w:p>
        </w:tc>
        <w:tc>
          <w:tcPr>
            <w:tcW w:type="dxa" w:w="266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$5.00 / $25.00 †</w:t>
            </w:r>
          </w:p>
        </w:tc>
      </w:tr>
      <w:tr>
        <w:trPr>
          <w:cantSplit/>
        </w:trPr>
        <w:tc>
          <w:tcPr>
            <w:tcW w:type="dxa" w:w="27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Economy model, per 1M tokens in / out</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$0.50 / $3.00</w:t>
            </w:r>
          </w:p>
        </w:tc>
        <w:tc>
          <w:tcPr>
            <w:tcW w:type="dxa" w:w="22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 / $12.00 †</w:t>
            </w:r>
          </w:p>
        </w:tc>
        <w:tc>
          <w:tcPr>
            <w:tcW w:type="dxa" w:w="266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 / $10.00 †</w:t>
            </w:r>
          </w:p>
        </w:tc>
      </w:tr>
    </w:tbl>
    <w:p>
      <w:pPr>
        <w:spacing w:after="200" w:before="60"/>
      </w:pPr>
      <w:r>
        <w:rPr>
          <w:rFonts w:ascii="Calibri" w:cs="Calibri" w:eastAsia="Calibri" w:hAnsi="Calibri"/>
          <w:i/>
          <w:iCs/>
          <w:color w:val="5B6770"/>
          <w:sz w:val="18"/>
          <w:szCs w:val="18"/>
        </w:rPr>
        <w:t xml:space="preserve">† Placeholder rates carried from the first draft; verify model names and prices with the provider.</w:t>
      </w:r>
    </w:p>
    <w:p>
      <w:pPr>
        <w:pStyle w:val="Heading2"/>
      </w:pPr>
      <w:r>
        <w:rPr>
          <w:rFonts w:ascii="Calibri" w:cs="Calibri" w:eastAsia="Calibri" w:hAnsi="Calibri"/>
        </w:rPr>
        <w:t xml:space="preserve">8.3 Worked monthly total (re-modelled on a single model — F-1)</w:t>
      </w:r>
    </w:p>
    <w:p>
      <w:pPr>
        <w:spacing w:after="120" w:line="276"/>
      </w:pPr>
      <w:r>
        <w:rPr>
          <w:rFonts w:ascii="Calibri" w:cs="Calibri" w:eastAsia="Calibri" w:hAnsi="Calibri"/>
          <w:color w:val="1F2933"/>
          <w:sz w:val="21"/>
          <w:szCs w:val="21"/>
        </w:rPr>
        <w:t xml:space="preserve">Modelled at 15,000 OCR pages, 50 audio hours, 3,000 search queries, 50M embedding tokens and 300M input / 40M output language-model tokens a month — roughly 500 active workspaces. Because the service uses one model, the realistic choice is </w:t>
      </w:r>
      <w:r>
        <w:rPr>
          <w:rFonts w:ascii="Calibri" w:cs="Calibri" w:eastAsia="Calibri" w:hAnsi="Calibri"/>
          <w:b/>
          <w:bCs/>
          <w:color w:val="1F2933"/>
          <w:sz w:val="21"/>
          <w:szCs w:val="21"/>
        </w:rPr>
        <w:t xml:space="preserve">economy everywhere</w:t>
      </w:r>
      <w:r>
        <w:rPr>
          <w:rFonts w:ascii="Calibri" w:cs="Calibri" w:eastAsia="Calibri" w:hAnsi="Calibri"/>
          <w:color w:val="1F2933"/>
          <w:sz w:val="21"/>
          <w:szCs w:val="21"/>
        </w:rPr>
        <w:t xml:space="preserve"> or </w:t>
      </w:r>
      <w:r>
        <w:rPr>
          <w:rFonts w:ascii="Calibri" w:cs="Calibri" w:eastAsia="Calibri" w:hAnsi="Calibri"/>
          <w:b/>
          <w:bCs/>
          <w:color w:val="1F2933"/>
          <w:sz w:val="21"/>
          <w:szCs w:val="21"/>
        </w:rPr>
        <w:t xml:space="preserve">flagship everywhere</w:t>
      </w:r>
      <w:r>
        <w:rPr>
          <w:rFonts w:ascii="Calibri" w:cs="Calibri" w:eastAsia="Calibri" w:hAnsi="Calibri"/>
          <w:color w:val="1F2933"/>
          <w:sz w:val="21"/>
          <w:szCs w:val="21"/>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7"/>
        <w:gridCol w:w="1503"/>
        <w:gridCol w:w="1503"/>
        <w:gridCol w:w="1734"/>
        <w:gridCol w:w="1853"/>
      </w:tblGrid>
      <w:tr>
        <w:trPr>
          <w:tblHeader/>
        </w:trPr>
        <w:tc>
          <w:tcPr>
            <w:tcW w:type="dxa" w:w="300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Cost line</w:t>
            </w:r>
          </w:p>
        </w:tc>
        <w:tc>
          <w:tcPr>
            <w:tcW w:type="dxa" w:w="150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GCP</w:t>
            </w:r>
          </w:p>
        </w:tc>
        <w:tc>
          <w:tcPr>
            <w:tcW w:type="dxa" w:w="150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73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 (Kendra)</w:t>
            </w:r>
          </w:p>
        </w:tc>
        <w:tc>
          <w:tcPr>
            <w:tcW w:type="dxa" w:w="185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 (OpenSearch)</w:t>
            </w:r>
          </w:p>
        </w:tc>
      </w:tr>
      <w:tr>
        <w:trPr>
          <w:cantSplit/>
        </w:trPr>
        <w:tc>
          <w:tcPr>
            <w:tcW w:type="dxa" w:w="300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Fixed infrastructure</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$230</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$310</w:t>
            </w:r>
          </w:p>
        </w:tc>
        <w:tc>
          <w:tcPr>
            <w:tcW w:type="dxa" w:w="17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$300</w:t>
            </w:r>
          </w:p>
        </w:tc>
        <w:tc>
          <w:tcPr>
            <w:tcW w:type="dxa" w:w="1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$300</w:t>
            </w:r>
          </w:p>
        </w:tc>
      </w:tr>
      <w:tr>
        <w:trPr>
          <w:cantSplit/>
        </w:trPr>
        <w:tc>
          <w:tcPr>
            <w:tcW w:type="dxa" w:w="300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c>
          <w:tcPr>
            <w:tcW w:type="dxa" w:w="173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c>
          <w:tcPr>
            <w:tcW w:type="dxa" w:w="1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r>
      <w:tr>
        <w:trPr>
          <w:cantSplit/>
        </w:trPr>
        <w:tc>
          <w:tcPr>
            <w:tcW w:type="dxa" w:w="300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Transcription</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$48</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$50</w:t>
            </w:r>
          </w:p>
        </w:tc>
        <w:tc>
          <w:tcPr>
            <w:tcW w:type="dxa" w:w="17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$72</w:t>
            </w:r>
          </w:p>
        </w:tc>
        <w:tc>
          <w:tcPr>
            <w:tcW w:type="dxa" w:w="1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$72</w:t>
            </w:r>
          </w:p>
        </w:tc>
      </w:tr>
      <w:tr>
        <w:trPr>
          <w:cantSplit/>
        </w:trPr>
        <w:tc>
          <w:tcPr>
            <w:tcW w:type="dxa" w:w="300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$75</w:t>
            </w:r>
          </w:p>
        </w:tc>
        <w:tc>
          <w:tcPr>
            <w:tcW w:type="dxa" w:w="173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$810</w:t>
            </w:r>
          </w:p>
        </w:tc>
        <w:tc>
          <w:tcPr>
            <w:tcW w:type="dxa" w:w="1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$125</w:t>
            </w:r>
          </w:p>
        </w:tc>
      </w:tr>
      <w:tr>
        <w:trPr>
          <w:cantSplit/>
        </w:trPr>
        <w:tc>
          <w:tcPr>
            <w:tcW w:type="dxa" w:w="300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$8</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c>
          <w:tcPr>
            <w:tcW w:type="dxa" w:w="17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c>
          <w:tcPr>
            <w:tcW w:type="dxa" w:w="1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r>
      <w:tr>
        <w:trPr>
          <w:cantSplit/>
        </w:trPr>
        <w:tc>
          <w:tcPr>
            <w:tcW w:type="dxa" w:w="300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 economy everywhere</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$270</w:t>
            </w:r>
          </w:p>
        </w:tc>
        <w:tc>
          <w:tcPr>
            <w:tcW w:type="dxa" w:w="150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$1,080</w:t>
            </w:r>
          </w:p>
        </w:tc>
        <w:tc>
          <w:tcPr>
            <w:tcW w:type="dxa" w:w="173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$1,000</w:t>
            </w:r>
          </w:p>
        </w:tc>
        <w:tc>
          <w:tcPr>
            <w:tcW w:type="dxa" w:w="1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$1,000</w:t>
            </w:r>
          </w:p>
        </w:tc>
      </w:tr>
      <w:tr>
        <w:trPr>
          <w:cantSplit/>
        </w:trPr>
        <w:tc>
          <w:tcPr>
            <w:tcW w:type="dxa" w:w="300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 flagship everywhere</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$1,080</w:t>
            </w:r>
          </w:p>
        </w:tc>
        <w:tc>
          <w:tcPr>
            <w:tcW w:type="dxa" w:w="150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$2,000</w:t>
            </w:r>
          </w:p>
        </w:tc>
        <w:tc>
          <w:tcPr>
            <w:tcW w:type="dxa" w:w="17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$2,500</w:t>
            </w:r>
          </w:p>
        </w:tc>
        <w:tc>
          <w:tcPr>
            <w:tcW w:type="dxa" w:w="1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$2,500</w:t>
            </w:r>
          </w:p>
        </w:tc>
      </w:tr>
      <w:tr>
        <w:trPr>
          <w:cantSplit/>
        </w:trPr>
        <w:tc>
          <w:tcPr>
            <w:tcW w:type="dxa" w:w="300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Monthly total — economy</w:t>
            </w:r>
          </w:p>
        </w:tc>
        <w:tc>
          <w:tcPr>
            <w:tcW w:type="dxa" w:w="150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$584</w:t>
            </w:r>
          </w:p>
        </w:tc>
        <w:tc>
          <w:tcPr>
            <w:tcW w:type="dxa" w:w="150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$1,539</w:t>
            </w:r>
          </w:p>
        </w:tc>
        <w:tc>
          <w:tcPr>
            <w:tcW w:type="dxa" w:w="173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$2,206</w:t>
            </w:r>
          </w:p>
        </w:tc>
        <w:tc>
          <w:tcPr>
            <w:tcW w:type="dxa" w:w="185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$1,521</w:t>
            </w:r>
          </w:p>
        </w:tc>
      </w:tr>
      <w:tr>
        <w:trPr>
          <w:cantSplit/>
        </w:trPr>
        <w:tc>
          <w:tcPr>
            <w:tcW w:type="dxa" w:w="300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Monthly total — flagship</w:t>
            </w:r>
          </w:p>
        </w:tc>
        <w:tc>
          <w:tcPr>
            <w:tcW w:type="dxa" w:w="150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$1,394</w:t>
            </w:r>
          </w:p>
        </w:tc>
        <w:tc>
          <w:tcPr>
            <w:tcW w:type="dxa" w:w="150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$2,459</w:t>
            </w:r>
          </w:p>
        </w:tc>
        <w:tc>
          <w:tcPr>
            <w:tcW w:type="dxa" w:w="173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$3,706</w:t>
            </w:r>
          </w:p>
        </w:tc>
        <w:tc>
          <w:tcPr>
            <w:tcW w:type="dxa" w:w="185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$3,021</w:t>
            </w:r>
          </w:p>
        </w:tc>
      </w:tr>
    </w:tbl>
    <w:p>
      <w:pPr>
        <w:spacing w:after="200" w:before="60"/>
      </w:pPr>
      <w:r>
        <w:rPr>
          <w:rFonts w:ascii="Calibri" w:cs="Calibri" w:eastAsia="Calibri" w:hAnsi="Calibri"/>
          <w:i/>
          <w:iCs/>
          <w:color w:val="5B6770"/>
          <w:sz w:val="18"/>
          <w:szCs w:val="18"/>
        </w:rPr>
        <w:t xml:space="preserve">Moving to Vertex AI under Option 1 adds a small premium over the current API-key rate for enterprise terms and residency. The self-built OpenSearch line (~$125) is an estimate of the extra instance and must be sized.</w:t>
      </w:r>
    </w:p>
    <w:p>
      <w:pPr>
        <w:spacing w:after="120" w:line="276"/>
      </w:pPr>
      <w:r>
        <w:rPr>
          <w:rFonts w:ascii="Calibri" w:cs="Calibri" w:eastAsia="Calibri" w:hAnsi="Calibri"/>
          <w:color w:val="1F2933"/>
          <w:sz w:val="21"/>
          <w:szCs w:val="21"/>
        </w:rPr>
        <w:t xml:space="preserve">On Option 5 (Azure + AWS), add the </w:t>
      </w:r>
      <w:r>
        <w:rPr>
          <w:rFonts w:ascii="Calibri" w:cs="Calibri" w:eastAsia="Calibri" w:hAnsi="Calibri"/>
          <w:b/>
          <w:bCs/>
          <w:color w:val="1F2933"/>
          <w:sz w:val="21"/>
          <w:szCs w:val="21"/>
        </w:rPr>
        <w:t xml:space="preserve">standby cloud's fixed infrastructure</w:t>
      </w:r>
      <w:r>
        <w:rPr>
          <w:rFonts w:ascii="Calibri" w:cs="Calibri" w:eastAsia="Calibri" w:hAnsi="Calibri"/>
          <w:color w:val="1F2933"/>
          <w:sz w:val="21"/>
          <w:szCs w:val="21"/>
        </w:rPr>
        <w:t xml:space="preserve"> (≈ $280–320 a month if kept warm) and its support plan. Model and service usage is billed only where traffic runs.</w:t>
      </w:r>
    </w:p>
    <w:p>
      <w:pPr>
        <w:pStyle w:val="Heading2"/>
      </w:pPr>
      <w:r>
        <w:rPr>
          <w:rFonts w:ascii="Calibri" w:cs="Calibri" w:eastAsia="Calibri" w:hAnsi="Calibri"/>
        </w:rPr>
        <w:t xml:space="preserve">8.4 Costs that are usually forgotten</w:t>
      </w:r>
    </w:p>
    <w:p>
      <w:pPr>
        <w:pStyle w:val="ListParagraph"/>
        <w:numPr>
          <w:ilvl w:val="0"/>
          <w:numId w:val="2"/>
        </w:numPr>
        <w:spacing w:after="60" w:line="276"/>
      </w:pPr>
      <w:r>
        <w:rPr>
          <w:rFonts w:ascii="Calibri" w:cs="Calibri" w:eastAsia="Calibri" w:hAnsi="Calibri"/>
          <w:b/>
          <w:bCs/>
          <w:color w:val="1F2933"/>
          <w:sz w:val="21"/>
          <w:szCs w:val="21"/>
        </w:rPr>
        <w:t xml:space="preserve">Preview-model pricing is not contractually stable.</w:t>
      </w:r>
      <w:r>
        <w:rPr>
          <w:rFonts w:ascii="Calibri" w:cs="Calibri" w:eastAsia="Calibri" w:hAnsi="Calibri"/>
          <w:color w:val="1F2933"/>
          <w:sz w:val="21"/>
          <w:szCs w:val="21"/>
        </w:rPr>
        <w:t xml:space="preserve"> The service currently runs on a preview Gemini model; rates can change at general availability. Moving to Vertex AI (Option 1) is partly a hedge against this.</w:t>
      </w:r>
    </w:p>
    <w:p>
      <w:pPr>
        <w:pStyle w:val="ListParagraph"/>
        <w:numPr>
          <w:ilvl w:val="0"/>
          <w:numId w:val="2"/>
        </w:numPr>
        <w:spacing w:after="60" w:line="276"/>
      </w:pPr>
      <w:r>
        <w:rPr>
          <w:rFonts w:ascii="Calibri" w:cs="Calibri" w:eastAsia="Calibri" w:hAnsi="Calibri"/>
          <w:b/>
          <w:bCs/>
          <w:color w:val="1F2933"/>
          <w:sz w:val="21"/>
          <w:szCs w:val="21"/>
        </w:rPr>
        <w:t xml:space="preserve">Dual running during migration</w:t>
      </w:r>
      <w:r>
        <w:rPr>
          <w:rFonts w:ascii="Calibri" w:cs="Calibri" w:eastAsia="Calibri" w:hAnsi="Calibri"/>
          <w:color w:val="1F2933"/>
          <w:sz w:val="21"/>
          <w:szCs w:val="21"/>
        </w:rPr>
        <w:t xml:space="preserve"> — both clouds live for the full migration window. Budget the full infrastructure cost of both for that period.</w:t>
      </w:r>
    </w:p>
    <w:p>
      <w:pPr>
        <w:pStyle w:val="ListParagraph"/>
        <w:numPr>
          <w:ilvl w:val="0"/>
          <w:numId w:val="2"/>
        </w:numPr>
        <w:spacing w:after="60" w:line="276"/>
      </w:pPr>
      <w:r>
        <w:rPr>
          <w:rFonts w:ascii="Calibri" w:cs="Calibri" w:eastAsia="Calibri" w:hAnsi="Calibri"/>
          <w:b/>
          <w:bCs/>
          <w:color w:val="1F2933"/>
          <w:sz w:val="21"/>
          <w:szCs w:val="21"/>
        </w:rPr>
        <w:t xml:space="preserve">Rollback window</w:t>
      </w:r>
      <w:r>
        <w:rPr>
          <w:rFonts w:ascii="Calibri" w:cs="Calibri" w:eastAsia="Calibri" w:hAnsi="Calibri"/>
          <w:color w:val="1F2933"/>
          <w:sz w:val="21"/>
          <w:szCs w:val="21"/>
        </w:rPr>
        <w:t xml:space="preserve"> — the old environment kept warm for 2–4 weeks after cutover.</w:t>
      </w:r>
    </w:p>
    <w:p>
      <w:pPr>
        <w:pStyle w:val="ListParagraph"/>
        <w:numPr>
          <w:ilvl w:val="0"/>
          <w:numId w:val="2"/>
        </w:numPr>
        <w:spacing w:after="60" w:line="276"/>
      </w:pPr>
      <w:r>
        <w:rPr>
          <w:rFonts w:ascii="Calibri" w:cs="Calibri" w:eastAsia="Calibri" w:hAnsi="Calibri"/>
          <w:b/>
          <w:bCs/>
          <w:color w:val="1F2933"/>
          <w:sz w:val="21"/>
          <w:szCs w:val="21"/>
        </w:rPr>
        <w:t xml:space="preserve">Data transfer out of GCP</w:t>
      </w:r>
      <w:r>
        <w:rPr>
          <w:rFonts w:ascii="Calibri" w:cs="Calibri" w:eastAsia="Calibri" w:hAnsi="Calibri"/>
          <w:color w:val="1F2933"/>
          <w:sz w:val="21"/>
          <w:szCs w:val="21"/>
        </w:rPr>
        <w:t xml:space="preserve"> — roughly $60 for 500 GB (not on Option 1).</w:t>
      </w:r>
    </w:p>
    <w:p>
      <w:pPr>
        <w:pStyle w:val="ListParagraph"/>
        <w:numPr>
          <w:ilvl w:val="0"/>
          <w:numId w:val="2"/>
        </w:numPr>
        <w:spacing w:after="60" w:line="276"/>
      </w:pPr>
      <w:r>
        <w:rPr>
          <w:rFonts w:ascii="Calibri" w:cs="Calibri" w:eastAsia="Calibri" w:hAnsi="Calibri"/>
          <w:b/>
          <w:bCs/>
          <w:color w:val="1F2933"/>
          <w:sz w:val="21"/>
          <w:szCs w:val="21"/>
        </w:rPr>
        <w:t xml:space="preserve">Support plans</w:t>
      </w:r>
      <w:r>
        <w:rPr>
          <w:rFonts w:ascii="Calibri" w:cs="Calibri" w:eastAsia="Calibri" w:hAnsi="Calibri"/>
          <w:color w:val="1F2933"/>
          <w:sz w:val="21"/>
          <w:szCs w:val="21"/>
        </w:rPr>
        <w:t xml:space="preserve"> — AWS Business Support is 10% of spend with a $100 / month minimum; Azure Standard is about $100 / month. Neither is optional for a production legal workload.</w:t>
      </w:r>
    </w:p>
    <w:p>
      <w:pPr>
        <w:pStyle w:val="ListParagraph"/>
        <w:numPr>
          <w:ilvl w:val="0"/>
          <w:numId w:val="2"/>
        </w:numPr>
        <w:spacing w:after="60" w:line="276"/>
      </w:pPr>
      <w:r>
        <w:rPr>
          <w:rFonts w:ascii="Calibri" w:cs="Calibri" w:eastAsia="Calibri" w:hAnsi="Calibri"/>
          <w:b/>
          <w:bCs/>
          <w:color w:val="1F2933"/>
          <w:sz w:val="21"/>
          <w:szCs w:val="21"/>
        </w:rPr>
        <w:t xml:space="preserve">The migration effort itself</w:t>
      </w:r>
      <w:r>
        <w:rPr>
          <w:rFonts w:ascii="Calibri" w:cs="Calibri" w:eastAsia="Calibri" w:hAnsi="Calibri"/>
          <w:color w:val="1F2933"/>
          <w:sz w:val="21"/>
          <w:szCs w:val="21"/>
        </w:rPr>
        <w:t xml:space="preserve"> — the day counts in section 7 multiplied by the agreed day rate. On Options 2–5 this exceeds several years of the running-cost difference between clouds; keep it in proportion when the choice is argued on monthly spend.</w:t>
      </w:r>
    </w:p>
    <w:p>
      <w:pPr>
        <w:pStyle w:val="Heading1"/>
        <w:pageBreakBefore/>
      </w:pPr>
      <w:r>
        <w:rPr>
          <w:rFonts w:ascii="Calibri" w:cs="Calibri" w:eastAsia="Calibri" w:hAnsi="Calibri"/>
        </w:rPr>
        <w:t xml:space="preserve">9.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
        <w:gridCol w:w="3840"/>
        <w:gridCol w:w="1280"/>
        <w:gridCol w:w="3840"/>
      </w:tblGrid>
      <w:tr>
        <w:trPr>
          <w:tblHeader/>
        </w:trPr>
        <w:tc>
          <w:tcPr>
            <w:tcW w:type="dxa" w:w="6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ID</w:t>
            </w:r>
          </w:p>
        </w:tc>
        <w:tc>
          <w:tcPr>
            <w:tcW w:type="dxa" w:w="38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Risk</w:t>
            </w:r>
          </w:p>
        </w:tc>
        <w:tc>
          <w:tcPr>
            <w:tcW w:type="dxa" w:w="128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Applies to</w:t>
            </w:r>
          </w:p>
        </w:tc>
        <w:tc>
          <w:tcPr>
            <w:tcW w:type="dxa" w:w="38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Mitigation</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R-01</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Existing document download links break.</w:t>
            </w:r>
            <w:r>
              <w:rPr>
                <w:rFonts w:ascii="Calibri" w:cs="Calibri" w:eastAsia="Calibri" w:hAnsi="Calibri"/>
                <w:b w:val="false"/>
                <w:bCs w:val="false"/>
                <w:color w:val="1F2933"/>
                <w:sz w:val="19"/>
                <w:szCs w:val="19"/>
              </w:rPr>
              <w:t xml:space="preserve"> Draft documents are shared as long-lived signed links (expiry set to 2050). S3 presigned links are capped at 7 days, less under IAM roles.</w:t>
            </w:r>
          </w:p>
        </w:tc>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AWS</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CloudFront signed URLs, or a redirect endpoint that mints a fresh link per click. Changes what the backend stores — agree early with the backend team. Azure SAS matches current behaviour.</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R-02</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No like-for-like for Vertex AI Search.</w:t>
            </w:r>
            <w:r>
              <w:rPr>
                <w:rFonts w:ascii="Calibri" w:cs="Calibri" w:eastAsia="Calibri" w:hAnsi="Calibri"/>
                <w:b w:val="false"/>
                <w:bCs w:val="false"/>
                <w:color w:val="1F2933"/>
                <w:sz w:val="19"/>
                <w:szCs w:val="19"/>
              </w:rPr>
              <w:t xml:space="preserve"> Kendra is priced per provisioned hour; Azure AI Search has no built-in crawler.</w:t>
            </w:r>
          </w:p>
        </w:tc>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Time-boxed spike before the option is fixed. The route is already a secondary fallback behind direct Indian Kanoon scraping, so a temporary dip does not break the feature.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R-03</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No automated tests on the paths being changed.</w:t>
            </w:r>
            <w:r>
              <w:rPr>
                <w:rFonts w:ascii="Calibri" w:cs="Calibri" w:eastAsia="Calibri" w:hAnsi="Calibri"/>
                <w:b w:val="false"/>
                <w:bCs w:val="false"/>
                <w:color w:val="1F2933"/>
                <w:sz w:val="19"/>
                <w:szCs w:val="19"/>
              </w:rPr>
              <w:t xml:space="preserve"> Socket handlers, panel agents and document processing are validated manually.</w:t>
            </w:r>
          </w:p>
        </w:tc>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All</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WS-15 builds integration tests and the evaluation harness before model work begins.</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R-04</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The service cannot be horizontally scaled as written.</w:t>
            </w:r>
            <w:r>
              <w:rPr>
                <w:rFonts w:ascii="Calibri" w:cs="Calibri" w:eastAsia="Calibri" w:hAnsi="Calibri"/>
                <w:b w:val="false"/>
                <w:bCs w:val="false"/>
                <w:color w:val="1F2933"/>
                <w:sz w:val="19"/>
                <w:szCs w:val="19"/>
              </w:rPr>
              <w:t xml:space="preserve"> In-memory state; two instances duplicate responses (F-5).</w:t>
            </w:r>
          </w:p>
        </w:tc>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All</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Deploy single-instance with automatic restart (current behaviour). Active/active is a separate ≈15–20-day re-architecture.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R-05</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 and transcription quality shift on Indian-language evidence</w:t>
            </w:r>
            <w:r>
              <w:rPr>
                <w:rFonts w:ascii="Calibri" w:cs="Calibri" w:eastAsia="Calibri" w:hAnsi="Calibri"/>
                <w:b w:val="false"/>
                <w:bCs w:val="false"/>
                <w:color w:val="1F2933"/>
                <w:sz w:val="19"/>
                <w:szCs w:val="19"/>
              </w:rPr>
              <w:t xml:space="preserve">, especially Hindi–English audio and two-speaker diarization.</w:t>
            </w:r>
          </w:p>
        </w:tc>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 candidates on the client's real evidence before committing (one-day exercise, week 0).</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R-06</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Changing the embedding model rebuilds the vector store</w:t>
            </w:r>
            <w:r>
              <w:rPr>
                <w:rFonts w:ascii="Calibri" w:cs="Calibri" w:eastAsia="Calibri" w:hAnsi="Calibri"/>
                <w:b w:val="false"/>
                <w:bCs w:val="false"/>
                <w:color w:val="1F2933"/>
                <w:sz w:val="19"/>
                <w:szCs w:val="19"/>
              </w:rPr>
              <w:t xml:space="preserve">; retrieval degraded until complete.</w:t>
            </w:r>
          </w:p>
        </w:tc>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Re-embed from stored text in a maintenance window; retrieval-quality check on sample workspaces before the old collection is dropped.</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R-07</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parity cannot be demonstrated today</w:t>
            </w:r>
            <w:r>
              <w:rPr>
                <w:rFonts w:ascii="Calibri" w:cs="Calibri" w:eastAsia="Calibri" w:hAnsi="Calibri"/>
                <w:b w:val="false"/>
                <w:bCs w:val="false"/>
                <w:color w:val="1F2933"/>
                <w:sz w:val="19"/>
                <w:szCs w:val="19"/>
              </w:rPr>
              <w:t xml:space="preserve"> — no golden set or evaluation harness (F-2).</w:t>
            </w:r>
          </w:p>
        </w:tc>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Build the harness first; define acceptance thresholds per panel with the client.</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R-08</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Silent embedding-dimension fallback</w:t>
            </w:r>
            <w:r>
              <w:rPr>
                <w:rFonts w:ascii="Calibri" w:cs="Calibri" w:eastAsia="Calibri" w:hAnsi="Calibri"/>
                <w:b w:val="false"/>
                <w:bCs w:val="false"/>
                <w:color w:val="1F2933"/>
                <w:sz w:val="19"/>
                <w:szCs w:val="19"/>
              </w:rPr>
              <w:t xml:space="preserve"> could corrupt retrieval without any error (F-4).</w:t>
            </w:r>
          </w:p>
        </w:tc>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All</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Make dimension mismatch fail loudly; separate collection per embedding model.</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R-09</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Content-filter approval lead time.</w:t>
            </w:r>
            <w:r>
              <w:rPr>
                <w:rFonts w:ascii="Calibri" w:cs="Calibri" w:eastAsia="Calibri" w:hAnsi="Calibri"/>
                <w:b w:val="false"/>
                <w:bCs w:val="false"/>
                <w:color w:val="1F2933"/>
                <w:sz w:val="19"/>
                <w:szCs w:val="19"/>
              </w:rPr>
              <w:t xml:space="preserve"> Legal evidence is blocked by default filters; relaxed filtering on Azure OpenAI requires an approved application.</w:t>
            </w:r>
          </w:p>
        </w:tc>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 Guardrails config)</w:t>
            </w:r>
          </w:p>
        </w:tc>
        <w:tc>
          <w:tcPr>
            <w:tcW w:type="dxa" w:w="38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Submit the application in week 1; test on real evidence during the week-0 spike.</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R-10</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availability in the Mumbai region.</w:t>
            </w:r>
            <w:r>
              <w:rPr>
                <w:rFonts w:ascii="Calibri" w:cs="Calibri" w:eastAsia="Calibri" w:hAnsi="Calibri"/>
                <w:b w:val="false"/>
                <w:bCs w:val="false"/>
                <w:color w:val="1F2933"/>
                <w:sz w:val="19"/>
                <w:szCs w:val="19"/>
              </w:rPr>
              <w:t xml:space="preserve"> Flagship models may launch later in some regions.</w:t>
            </w:r>
          </w:p>
        </w:tc>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Confirm regional availability before selection; residency requirements decide the fallback.</w:t>
            </w:r>
          </w:p>
        </w:tc>
      </w:tr>
    </w:tbl>
    <w:p>
      <w:pPr>
        <w:pStyle w:val="Heading1"/>
        <w:pageBreakBefore/>
      </w:pPr>
      <w:r>
        <w:rPr>
          <w:rFonts w:ascii="Calibri" w:cs="Calibri" w:eastAsia="Calibri" w:hAnsi="Calibri"/>
        </w:rPr>
        <w:t xml:space="preserve">10. Phasing — Option 4, then Option 5</w:t>
      </w:r>
    </w:p>
    <w:p>
      <w:pPr>
        <w:spacing w:after="120" w:line="276"/>
      </w:pPr>
      <w:r>
        <w:rPr>
          <w:rFonts w:ascii="Calibri" w:cs="Calibri" w:eastAsia="Calibri" w:hAnsi="Calibri"/>
          <w:color w:val="1F2933"/>
          <w:sz w:val="21"/>
          <w:szCs w:val="21"/>
        </w:rPr>
        <w:t xml:space="preserve">Calendar time assuming one full-time engineer with part-time support. A second engineer runs the infrastructure and model tracks in parallel.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0"/>
        <w:gridCol w:w="2133"/>
        <w:gridCol w:w="6187"/>
      </w:tblGrid>
      <w:tr>
        <w:trPr>
          <w:tblHeader/>
        </w:trPr>
        <w:tc>
          <w:tcPr>
            <w:tcW w:type="dxa" w:w="128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When</w:t>
            </w:r>
          </w:p>
        </w:tc>
        <w:tc>
          <w:tcPr>
            <w:tcW w:type="dxa" w:w="21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Phase</w:t>
            </w:r>
          </w:p>
        </w:tc>
        <w:tc>
          <w:tcPr>
            <w:tcW w:type="dxa" w:w="618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What happens</w:t>
            </w:r>
          </w:p>
        </w:tc>
      </w:tr>
      <w:tr>
        <w:trPr>
          <w:cantSplit/>
        </w:trPr>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0</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Spike and benchmark</w:t>
            </w:r>
          </w:p>
        </w:tc>
        <w:tc>
          <w:tcPr>
            <w:tcW w:type="dxa" w:w="618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Run the client's sample evidence through each candidate's OCR and transcription; put representative prompts for each panel through the candidate models; submit the Azure content-filter application; confirm regional model availability.</w:t>
            </w:r>
          </w:p>
        </w:tc>
      </w:tr>
      <w:tr>
        <w:trPr>
          <w:cantSplit/>
        </w:trPr>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1–3</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Foundation and quality baseline</w:t>
            </w:r>
          </w:p>
        </w:tc>
        <w:tc>
          <w:tcPr>
            <w:tcW w:type="dxa" w:w="618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 account, network, container with audio and PDF tools, secrets and key rotation. Build the golden set and evaluation harness, and measure today's Gemini output as the baseline.</w:t>
            </w:r>
          </w:p>
        </w:tc>
      </w:tr>
      <w:tr>
        <w:trPr>
          <w:cantSplit/>
        </w:trPr>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4–7</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Portability layer</w:t>
            </w:r>
          </w:p>
        </w:tc>
        <w:tc>
          <w:tcPr>
            <w:tcW w:type="dxa" w:w="618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Interfaces for model, embeddings, storage, OCR, speech and search; move every call site onto them; retire the deprecated SDK; embedding fail-loud; per-provider pricing. Gemini adapter keeps production running throughout.</w:t>
            </w:r>
          </w:p>
        </w:tc>
      </w:tr>
      <w:tr>
        <w:trPr>
          <w:cantSplit/>
        </w:trPr>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8–10</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data and services</w:t>
            </w:r>
          </w:p>
        </w:tc>
        <w:tc>
          <w:tcPr>
            <w:tcW w:type="dxa" w:w="618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Qdrant and Redis, storage and pointer backfill, OCR, transcription and legal-search adapters.</w:t>
            </w:r>
          </w:p>
        </w:tc>
      </w:tr>
      <w:tr>
        <w:trPr>
          <w:cantSplit/>
        </w:trPr>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11–15</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model migration</w:t>
            </w:r>
          </w:p>
        </w:tc>
        <w:tc>
          <w:tcPr>
            <w:tcW w:type="dxa" w:w="618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OpenAI adapter, prompt re-tune to JSON reliability, safety posture, Bing grounding, re-embed, quality re-baseline against the harness.</w:t>
            </w:r>
          </w:p>
        </w:tc>
      </w:tr>
      <w:tr>
        <w:trPr>
          <w:cantSplit/>
        </w:trPr>
        <w:tc>
          <w:tcPr>
            <w:tcW w:type="dxa" w:w="12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16–18</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Regression and Azure cutover</w:t>
            </w:r>
          </w:p>
        </w:tc>
        <w:tc>
          <w:tcPr>
            <w:tcW w:type="dxa" w:w="618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Observability, full end-to-end pass on staging, parallel run, IP allowlisting, cutover, documented rollback.</w:t>
            </w:r>
          </w:p>
        </w:tc>
      </w:tr>
      <w:tr>
        <w:trPr>
          <w:cantSplit/>
        </w:trPr>
        <w:tc>
          <w:tcPr>
            <w:tcW w:type="dxa" w:w="12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19–27</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AWS (Option 5, when triggered)</w:t>
            </w:r>
          </w:p>
        </w:tc>
        <w:tc>
          <w:tcPr>
            <w:tcW w:type="dxa" w:w="618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AWS infrastructure and adapters, S3 link redirect, Bedrock adapter and prompt overlays, grounding build, re-embed, re-baseline, standby or per-client go-live.</w:t>
            </w:r>
          </w:p>
        </w:tc>
      </w:tr>
    </w:tbl>
    <w:p>
      <w:pPr>
        <w:spacing w:after="200" w:before="60"/>
      </w:pPr>
      <w:r>
        <w:rPr>
          <w:rFonts w:ascii="Calibri" w:cs="Calibri" w:eastAsia="Calibri" w:hAnsi="Calibri"/>
          <w:i/>
          <w:iCs/>
          <w:color w:val="5B6770"/>
          <w:sz w:val="18"/>
          <w:szCs w:val="18"/>
        </w:rPr>
        <w:t xml:space="preserve">Option 1 collapses to about three weeks: Vertex AI move, key rotation, embedding fail-loud fix, SDK retirement, and a shorter regression pass.</w:t>
      </w:r>
    </w:p>
    <w:p>
      <w:pPr>
        <w:pStyle w:val="Heading1"/>
        <w:pageBreakBefore/>
      </w:pPr>
      <w:r>
        <w:rPr>
          <w:rFonts w:ascii="Calibri" w:cs="Calibri" w:eastAsia="Calibri" w:hAnsi="Calibri"/>
        </w:rPr>
        <w:t xml:space="preserve">11. What we need from you</w:t>
      </w:r>
    </w:p>
    <w:p>
      <w:pPr>
        <w:pStyle w:val="Heading2"/>
      </w:pPr>
      <w:r>
        <w:rPr>
          <w:rFonts w:ascii="Calibri" w:cs="Calibri" w:eastAsia="Calibri" w:hAnsi="Calibri"/>
        </w:rPr>
        <w:t xml:space="preserve">Decisions</w:t>
      </w:r>
    </w:p>
    <w:p>
      <w:pPr>
        <w:pStyle w:val="ListParagraph"/>
        <w:numPr>
          <w:ilvl w:val="0"/>
          <w:numId w:val="3"/>
        </w:numPr>
        <w:spacing w:after="60" w:line="276"/>
      </w:pPr>
      <w:r>
        <w:rPr>
          <w:rFonts w:ascii="Calibri" w:cs="Calibri" w:eastAsia="Calibri" w:hAnsi="Calibri"/>
          <w:b/>
          <w:bCs/>
          <w:color w:val="1F2933"/>
          <w:sz w:val="21"/>
          <w:szCs w:val="21"/>
        </w:rPr>
        <w:t xml:space="preserve">Is leaving Google a requirement or a preference?</w:t>
      </w:r>
      <w:r>
        <w:rPr>
          <w:rFonts w:ascii="Calibri" w:cs="Calibri" w:eastAsia="Calibri" w:hAnsi="Calibri"/>
          <w:color w:val="1F2933"/>
          <w:sz w:val="21"/>
          <w:szCs w:val="21"/>
        </w:rPr>
        <w:t xml:space="preserve"> If a preference, Option 1 meets the usual motivations for a fraction of the cost and no quality risk. If a requirement, tell us what drives it — that defines what the replacement must guarantee.</w:t>
      </w:r>
    </w:p>
    <w:p>
      <w:pPr>
        <w:pStyle w:val="ListParagraph"/>
        <w:numPr>
          <w:ilvl w:val="0"/>
          <w:numId w:val="3"/>
        </w:numPr>
        <w:spacing w:after="60" w:line="276"/>
      </w:pPr>
      <w:r>
        <w:rPr>
          <w:rFonts w:ascii="Calibri" w:cs="Calibri" w:eastAsia="Calibri" w:hAnsi="Calibri"/>
          <w:b/>
          <w:bCs/>
          <w:color w:val="1F2933"/>
          <w:sz w:val="21"/>
          <w:szCs w:val="21"/>
        </w:rPr>
        <w:t xml:space="preserve">Which operating model for "Azure and AWS"?</w:t>
      </w:r>
      <w:r>
        <w:rPr>
          <w:rFonts w:ascii="Calibri" w:cs="Calibri" w:eastAsia="Calibri" w:hAnsi="Calibri"/>
          <w:color w:val="1F2933"/>
          <w:sz w:val="21"/>
          <w:szCs w:val="21"/>
        </w:rPr>
        <w:t xml:space="preserve"> Active/standby, per-client deployments, or active/active (section 1.4). This changes the estimate more than any other choice.</w:t>
      </w:r>
    </w:p>
    <w:p>
      <w:pPr>
        <w:pStyle w:val="ListParagraph"/>
        <w:numPr>
          <w:ilvl w:val="0"/>
          <w:numId w:val="3"/>
        </w:numPr>
        <w:spacing w:after="60" w:line="276"/>
      </w:pPr>
      <w:r>
        <w:rPr>
          <w:rFonts w:ascii="Calibri" w:cs="Calibri" w:eastAsia="Calibri" w:hAnsi="Calibri"/>
          <w:b/>
          <w:bCs/>
          <w:color w:val="1F2933"/>
          <w:sz w:val="21"/>
          <w:szCs w:val="21"/>
        </w:rPr>
        <w:t xml:space="preserve">Flagship or economy model?</w:t>
      </w:r>
      <w:r>
        <w:rPr>
          <w:rFonts w:ascii="Calibri" w:cs="Calibri" w:eastAsia="Calibri" w:hAnsi="Calibri"/>
          <w:color w:val="1F2933"/>
          <w:sz w:val="21"/>
          <w:szCs w:val="21"/>
        </w:rPr>
        <w:t xml:space="preserve"> Because the service runs one model, this is a single decision with a large cost effect (section 8.3).</w:t>
      </w:r>
    </w:p>
    <w:p>
      <w:pPr>
        <w:pStyle w:val="ListParagraph"/>
        <w:numPr>
          <w:ilvl w:val="0"/>
          <w:numId w:val="3"/>
        </w:numPr>
        <w:spacing w:after="60" w:line="276"/>
      </w:pPr>
      <w:r>
        <w:rPr>
          <w:rFonts w:ascii="Calibri" w:cs="Calibri" w:eastAsia="Calibri" w:hAnsi="Calibri"/>
          <w:b/>
          <w:bCs/>
          <w:color w:val="1F2933"/>
          <w:sz w:val="21"/>
          <w:szCs w:val="21"/>
        </w:rPr>
        <w:t xml:space="preserve">Region and data residency.</w:t>
      </w:r>
      <w:r>
        <w:rPr>
          <w:rFonts w:ascii="Calibri" w:cs="Calibri" w:eastAsia="Calibri" w:hAnsi="Calibri"/>
          <w:color w:val="1F2933"/>
          <w:sz w:val="21"/>
          <w:szCs w:val="21"/>
        </w:rPr>
        <w:t xml:space="preserve"> Mumbai on every option; your legal team should confirm the region and sub-processor list under the DPDP Act.</w:t>
      </w:r>
    </w:p>
    <w:p>
      <w:pPr>
        <w:pStyle w:val="ListParagraph"/>
        <w:numPr>
          <w:ilvl w:val="0"/>
          <w:numId w:val="3"/>
        </w:numPr>
        <w:spacing w:after="60" w:line="276"/>
      </w:pPr>
      <w:r>
        <w:rPr>
          <w:rFonts w:ascii="Calibri" w:cs="Calibri" w:eastAsia="Calibri" w:hAnsi="Calibri"/>
          <w:b/>
          <w:bCs/>
          <w:color w:val="1F2933"/>
          <w:sz w:val="21"/>
          <w:szCs w:val="21"/>
        </w:rPr>
        <w:t xml:space="preserve">Managed or self-hosted vector store.</w:t>
      </w:r>
      <w:r>
        <w:rPr>
          <w:rFonts w:ascii="Calibri" w:cs="Calibri" w:eastAsia="Calibri" w:hAnsi="Calibri"/>
          <w:color w:val="1F2933"/>
          <w:sz w:val="21"/>
          <w:szCs w:val="21"/>
        </w:rPr>
        <w:t xml:space="preserve"> Qdrant Cloud removes operational burden at a higher monthly cost; self-hosted matches today.</w:t>
      </w:r>
    </w:p>
    <w:p>
      <w:pPr>
        <w:pStyle w:val="ListParagraph"/>
        <w:numPr>
          <w:ilvl w:val="0"/>
          <w:numId w:val="3"/>
        </w:numPr>
        <w:spacing w:after="60" w:line="276"/>
      </w:pPr>
      <w:r>
        <w:rPr>
          <w:rFonts w:ascii="Calibri" w:cs="Calibri" w:eastAsia="Calibri" w:hAnsi="Calibri"/>
          <w:b/>
          <w:bCs/>
          <w:color w:val="1F2933"/>
          <w:sz w:val="21"/>
          <w:szCs w:val="21"/>
        </w:rPr>
        <w:t xml:space="preserve">Quality acceptance criteria.</w:t>
      </w:r>
      <w:r>
        <w:rPr>
          <w:rFonts w:ascii="Calibri" w:cs="Calibri" w:eastAsia="Calibri" w:hAnsi="Calibri"/>
          <w:color w:val="1F2933"/>
          <w:sz w:val="21"/>
          <w:szCs w:val="21"/>
        </w:rPr>
        <w:t xml:space="preserve"> What "equivalent output" means per panel, agreed before model work starts.</w:t>
      </w:r>
    </w:p>
    <w:p>
      <w:pPr>
        <w:pStyle w:val="Heading2"/>
      </w:pPr>
      <w:r>
        <w:rPr>
          <w:rFonts w:ascii="Calibri" w:cs="Calibri" w:eastAsia="Calibri" w:hAnsi="Calibri"/>
        </w:rPr>
        <w:t xml:space="preserve">Access and inputs</w:t>
      </w:r>
    </w:p>
    <w:p>
      <w:pPr>
        <w:pStyle w:val="ListParagraph"/>
        <w:numPr>
          <w:ilvl w:val="0"/>
          <w:numId w:val="2"/>
        </w:numPr>
        <w:spacing w:after="60" w:line="276"/>
      </w:pPr>
      <w:r>
        <w:rPr>
          <w:rFonts w:ascii="Calibri" w:cs="Calibri" w:eastAsia="Calibri" w:hAnsi="Calibri"/>
          <w:color w:val="1F2933"/>
          <w:sz w:val="21"/>
          <w:szCs w:val="21"/>
        </w:rPr>
        <w:t xml:space="preserve">A cloud account or subscription under your organisation with administrative provisioning rights and an agreed billing alarm.</w:t>
      </w:r>
    </w:p>
    <w:p>
      <w:pPr>
        <w:pStyle w:val="ListParagraph"/>
        <w:numPr>
          <w:ilvl w:val="0"/>
          <w:numId w:val="2"/>
        </w:numPr>
        <w:spacing w:after="60" w:line="276"/>
      </w:pPr>
      <w:r>
        <w:rPr>
          <w:rFonts w:ascii="Calibri" w:cs="Calibri" w:eastAsia="Calibri" w:hAnsi="Calibri"/>
          <w:color w:val="1F2933"/>
          <w:sz w:val="21"/>
          <w:szCs w:val="21"/>
        </w:rPr>
        <w:t xml:space="preserve">Backend-team availability for outbound-IP allowlisting, the download-link change on AWS (R-01) and the cutover window.</w:t>
      </w:r>
    </w:p>
    <w:p>
      <w:pPr>
        <w:pStyle w:val="ListParagraph"/>
        <w:numPr>
          <w:ilvl w:val="0"/>
          <w:numId w:val="2"/>
        </w:numPr>
        <w:spacing w:after="60" w:line="276"/>
      </w:pPr>
      <w:r>
        <w:rPr>
          <w:rFonts w:ascii="Calibri" w:cs="Calibri" w:eastAsia="Calibri" w:hAnsi="Calibri"/>
          <w:color w:val="1F2933"/>
          <w:sz w:val="21"/>
          <w:szCs w:val="21"/>
        </w:rPr>
        <w:t xml:space="preserve">A staging backend to validate against — we do not recommend validating a migration of this size against production.</w:t>
      </w:r>
    </w:p>
    <w:p>
      <w:pPr>
        <w:pStyle w:val="ListParagraph"/>
        <w:numPr>
          <w:ilvl w:val="0"/>
          <w:numId w:val="2"/>
        </w:numPr>
        <w:spacing w:after="60" w:line="276"/>
      </w:pPr>
      <w:r>
        <w:rPr>
          <w:rFonts w:ascii="Calibri" w:cs="Calibri" w:eastAsia="Calibri" w:hAnsi="Calibri"/>
          <w:color w:val="1F2933"/>
          <w:sz w:val="21"/>
          <w:szCs w:val="21"/>
        </w:rPr>
        <w:t xml:space="preserve">A sample evidence set: about 20 representative documents and 5 audio recordings, plus 20–30 real (anonymised) cases with outputs your lawyers consider correct, to seed the golden set.</w:t>
      </w:r>
    </w:p>
    <w:p>
      <w:pPr>
        <w:pStyle w:val="Heading1"/>
        <w:pageBreakBefore/>
      </w:pPr>
      <w:r>
        <w:rPr>
          <w:rFonts w:ascii="Calibri" w:cs="Calibri" w:eastAsia="Calibri" w:hAnsi="Calibri"/>
        </w:rPr>
        <w:t xml:space="preserve">12. Assumptions and exclusions</w:t>
      </w:r>
    </w:p>
    <w:p>
      <w:pPr>
        <w:pStyle w:val="Heading2"/>
      </w:pPr>
      <w:r>
        <w:rPr>
          <w:rFonts w:ascii="Calibri" w:cs="Calibri" w:eastAsia="Calibri" w:hAnsi="Calibri"/>
        </w:rPr>
        <w:t xml:space="preserve">Assumptions</w:t>
      </w:r>
    </w:p>
    <w:p>
      <w:pPr>
        <w:pStyle w:val="ListParagraph"/>
        <w:numPr>
          <w:ilvl w:val="0"/>
          <w:numId w:val="2"/>
        </w:numPr>
        <w:spacing w:after="60" w:line="276"/>
      </w:pPr>
      <w:r>
        <w:rPr>
          <w:rFonts w:ascii="Calibri" w:cs="Calibri" w:eastAsia="Calibri" w:hAnsi="Calibri"/>
          <w:color w:val="1F2933"/>
          <w:sz w:val="21"/>
          <w:szCs w:val="21"/>
        </w:rPr>
        <w:t xml:space="preserve">Only the AI service moves. If the backend is also migrating, that is a separate assessment and may change the Azure / AWS recommendation.</w:t>
      </w:r>
    </w:p>
    <w:p>
      <w:pPr>
        <w:pStyle w:val="ListParagraph"/>
        <w:numPr>
          <w:ilvl w:val="0"/>
          <w:numId w:val="2"/>
        </w:numPr>
        <w:spacing w:after="60" w:line="276"/>
      </w:pPr>
      <w:r>
        <w:rPr>
          <w:rFonts w:ascii="Calibri" w:cs="Calibri" w:eastAsia="Calibri" w:hAnsi="Calibri"/>
          <w:color w:val="1F2933"/>
          <w:sz w:val="21"/>
          <w:szCs w:val="21"/>
        </w:rPr>
        <w:t xml:space="preserve">The current Google deployment is a container or VM; if Cloud Run or GKE configuration needs porting, add 2–4 days.</w:t>
      </w:r>
    </w:p>
    <w:p>
      <w:pPr>
        <w:pStyle w:val="ListParagraph"/>
        <w:numPr>
          <w:ilvl w:val="0"/>
          <w:numId w:val="2"/>
        </w:numPr>
        <w:spacing w:after="60" w:line="276"/>
      </w:pPr>
      <w:r>
        <w:rPr>
          <w:rFonts w:ascii="Calibri" w:cs="Calibri" w:eastAsia="Calibri" w:hAnsi="Calibri"/>
          <w:color w:val="1F2933"/>
          <w:sz w:val="21"/>
          <w:szCs w:val="21"/>
        </w:rPr>
        <w:t xml:space="preserve">Redis is provisioned for continuity; no application data is held in it today.</w:t>
      </w:r>
    </w:p>
    <w:p>
      <w:pPr>
        <w:pStyle w:val="ListParagraph"/>
        <w:numPr>
          <w:ilvl w:val="0"/>
          <w:numId w:val="2"/>
        </w:numPr>
        <w:spacing w:after="60" w:line="276"/>
      </w:pPr>
      <w:r>
        <w:rPr>
          <w:rFonts w:ascii="Calibri" w:cs="Calibri" w:eastAsia="Calibri" w:hAnsi="Calibri"/>
          <w:color w:val="1F2933"/>
          <w:sz w:val="21"/>
          <w:szCs w:val="21"/>
        </w:rPr>
        <w:t xml:space="preserve">Feature development on the prompt, storage, OCR, audio and search modules is frozen for the duration.</w:t>
      </w:r>
    </w:p>
    <w:p>
      <w:pPr>
        <w:pStyle w:val="ListParagraph"/>
        <w:numPr>
          <w:ilvl w:val="0"/>
          <w:numId w:val="2"/>
        </w:numPr>
        <w:spacing w:after="60" w:line="276"/>
      </w:pPr>
      <w:r>
        <w:rPr>
          <w:rFonts w:ascii="Calibri" w:cs="Calibri" w:eastAsia="Calibri" w:hAnsi="Calibri"/>
          <w:color w:val="1F2933"/>
          <w:sz w:val="21"/>
          <w:szCs w:val="21"/>
        </w:rPr>
        <w:t xml:space="preserve">Volumes in section 8 are modelled, not measured; real usage figures would sharpen every total.</w:t>
      </w:r>
    </w:p>
    <w:p>
      <w:pPr>
        <w:pStyle w:val="ListParagraph"/>
        <w:numPr>
          <w:ilvl w:val="0"/>
          <w:numId w:val="2"/>
        </w:numPr>
        <w:spacing w:after="60" w:line="276"/>
      </w:pPr>
      <w:r>
        <w:rPr>
          <w:rFonts w:ascii="Calibri" w:cs="Calibri" w:eastAsia="Calibri" w:hAnsi="Calibri"/>
          <w:color w:val="1F2933"/>
          <w:sz w:val="21"/>
          <w:szCs w:val="21"/>
        </w:rPr>
        <w:t xml:space="preserve">Model names and prices for Azure OpenAI and Amazon Bedrock are to be confirmed with the providers.</w:t>
      </w:r>
    </w:p>
    <w:p>
      <w:pPr>
        <w:pStyle w:val="Heading2"/>
      </w:pPr>
      <w:r>
        <w:rPr>
          <w:rFonts w:ascii="Calibri" w:cs="Calibri" w:eastAsia="Calibri" w:hAnsi="Calibri"/>
        </w:rPr>
        <w:t xml:space="preserve">Not included</w:t>
      </w:r>
    </w:p>
    <w:p>
      <w:pPr>
        <w:pStyle w:val="ListParagraph"/>
        <w:numPr>
          <w:ilvl w:val="0"/>
          <w:numId w:val="2"/>
        </w:numPr>
        <w:spacing w:after="60" w:line="276"/>
      </w:pPr>
      <w:r>
        <w:rPr>
          <w:rFonts w:ascii="Calibri" w:cs="Calibri" w:eastAsia="Calibri" w:hAnsi="Calibri"/>
          <w:color w:val="1F2933"/>
          <w:sz w:val="21"/>
          <w:szCs w:val="21"/>
        </w:rPr>
        <w:t xml:space="preserve">High availability, multi-region or active/active deployment (quoted separately).</w:t>
      </w:r>
    </w:p>
    <w:p>
      <w:pPr>
        <w:pStyle w:val="ListParagraph"/>
        <w:numPr>
          <w:ilvl w:val="0"/>
          <w:numId w:val="2"/>
        </w:numPr>
        <w:spacing w:after="60" w:line="276"/>
      </w:pPr>
      <w:r>
        <w:rPr>
          <w:rFonts w:ascii="Calibri" w:cs="Calibri" w:eastAsia="Calibri" w:hAnsi="Calibri"/>
          <w:color w:val="1F2933"/>
          <w:sz w:val="21"/>
          <w:szCs w:val="21"/>
        </w:rPr>
        <w:t xml:space="preserve">Changes to product behaviour or feature scope. Output quality is expected to be equivalent after a model migration; equivalence will be measured against the agreed acceptance criteria.</w:t>
      </w:r>
    </w:p>
    <w:p>
      <w:pPr>
        <w:pStyle w:val="ListParagraph"/>
        <w:numPr>
          <w:ilvl w:val="0"/>
          <w:numId w:val="2"/>
        </w:numPr>
        <w:spacing w:after="60" w:line="276"/>
      </w:pPr>
      <w:r>
        <w:rPr>
          <w:rFonts w:ascii="Calibri" w:cs="Calibri" w:eastAsia="Calibri" w:hAnsi="Calibri"/>
          <w:color w:val="1F2933"/>
          <w:sz w:val="21"/>
          <w:szCs w:val="21"/>
        </w:rPr>
        <w:t xml:space="preserve">Migration of the vendored Keel knowledge-plane copy.</w:t>
      </w:r>
    </w:p>
    <w:p>
      <w:pPr>
        <w:pStyle w:val="ListParagraph"/>
        <w:numPr>
          <w:ilvl w:val="0"/>
          <w:numId w:val="2"/>
        </w:numPr>
        <w:spacing w:after="60" w:line="276"/>
      </w:pPr>
      <w:r>
        <w:rPr>
          <w:rFonts w:ascii="Calibri" w:cs="Calibri" w:eastAsia="Calibri" w:hAnsi="Calibri"/>
          <w:color w:val="1F2933"/>
          <w:sz w:val="21"/>
          <w:szCs w:val="21"/>
        </w:rPr>
        <w:t xml:space="preserve">Firm infrastructure or model pricing.</w:t>
      </w:r>
    </w:p>
    <w:p>
      <w:pPr>
        <w:spacing w:after="300"/>
      </w:pPr>
    </w:p>
    <w:p>
      <w:pPr>
        <w:pBdr>
          <w:top w:val="single" w:color="C9D2DA" w:sz="6" w:space="6"/>
        </w:pBdr>
      </w:pPr>
      <w:r>
        <w:rPr>
          <w:rFonts w:ascii="Calibri" w:cs="Calibri" w:eastAsia="Calibri" w:hAnsi="Calibri"/>
          <w:i/>
          <w:iCs/>
          <w:color w:val="5B6770"/>
          <w:sz w:val="17"/>
          <w:szCs w:val="17"/>
        </w:rPr>
        <w:t xml:space="preserve">SimplerToday AI — cloud migration &amp; model portability assessment · v2.0 · 30 September 2026. Effort in engineering person-days, excluding client-side approvals and provisioning. Costs are indicative USD list prices for the Mumbai region.</w:t>
      </w:r>
    </w:p>
    <w:sectPr>
      <w:headerReference w:type="default" r:id="rId6"/>
      <w:footerReference w:type="default" r:id="rId7"/>
      <w:pgSz w:w="11906" w:h="16838" w:orient="portrait"/>
      <w:pgMar w:top="1200" w:right="1153" w:bottom="1100" w:left="11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Calibri" w:cs="Calibri" w:eastAsia="Calibri" w:hAnsi="Calibri"/>
        <w:color w:val="5B6770"/>
        <w:sz w:val="16"/>
        <w:szCs w:val="16"/>
      </w:rPr>
      <w:t xml:space="preserve">Draft for client review · indicative figures</w:t>
    </w:r>
    <w:r>
      <w:rPr>
        <w:rFonts w:ascii="Calibri" w:cs="Calibri" w:eastAsia="Calibri" w:hAnsi="Calibri"/>
        <w:color w:val="5B67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6"/>
        <w:szCs w:val="16"/>
      </w:rPr>
      <w:t xml:space="preserve">SimplerToday AI · Cloud Migration &amp; Model Portability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9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SimplerToday AI — Cloud Migration &amp; Model Portability Assessment</dc:title>
  <dc:creator>SimplerToday AI engineering</dc:creator>
  <cp:lastModifiedBy>Un-named</cp:lastModifiedBy>
  <cp:revision>1</cp:revision>
  <dcterms:created xsi:type="dcterms:W3CDTF">2026-09-30T07:09:33.992Z</dcterms:created>
  <dcterms:modified xsi:type="dcterms:W3CDTF">2026-09-30T07:09:33.992Z</dcterms:modified>
</cp:coreProperties>
</file>

<file path=docProps/custom.xml><?xml version="1.0" encoding="utf-8"?>
<Properties xmlns="http://schemas.openxmlformats.org/officeDocument/2006/custom-properties" xmlns:vt="http://schemas.openxmlformats.org/officeDocument/2006/docPropsVTypes"/>
</file>