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pPr>
      <w:r>
        <w:rPr>
          <w:rFonts w:ascii="Calibri" w:cs="Calibri" w:eastAsia="Calibri" w:hAnsi="Calibri"/>
          <w:color w:val="5B6770"/>
          <w:sz w:val="28"/>
          <w:szCs w:val="28"/>
        </w:rPr>
        <w:t xml:space="preserve">SimplerToday AI</w:t>
      </w:r>
    </w:p>
    <w:p>
      <w:pPr>
        <w:spacing w:after="240"/>
      </w:pPr>
      <w:r>
        <w:rPr>
          <w:rFonts w:ascii="Calibri" w:cs="Calibri" w:eastAsia="Calibri" w:hAnsi="Calibri"/>
          <w:b/>
          <w:bCs/>
          <w:color w:val="1F4E79"/>
          <w:sz w:val="52"/>
          <w:szCs w:val="52"/>
        </w:rPr>
        <w:t xml:space="preserve">AWS &amp; Azure Migration and Model Portability</w:t>
      </w:r>
    </w:p>
    <w:p>
      <w:pPr>
        <w:spacing w:after="600"/>
      </w:pPr>
      <w:r>
        <w:rPr>
          <w:rFonts w:ascii="Calibri" w:cs="Calibri" w:eastAsia="Calibri" w:hAnsi="Calibri"/>
          <w:color w:val="1F2933"/>
          <w:sz w:val="26"/>
          <w:szCs w:val="26"/>
        </w:rPr>
        <w:t xml:space="preserve">Effort, cost, risk and delivery plan for moving the AI service to Microsoft Azure or Amazon Web Services, and for making it run on any language model, feature by feature</w:t>
      </w:r>
    </w:p>
    <w:p>
      <w:pPr>
        <w:pBdr>
          <w:bottom w:val="single" w:color="1F4E79" w:sz="8" w:space="1"/>
        </w:pBdr>
      </w:pPr>
    </w:p>
    <w:p>
      <w:pPr>
        <w:spacing w:after="2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Item</w:t>
            </w:r>
          </w:p>
        </w:tc>
        <w:tc>
          <w:tcPr>
            <w:tcW w:type="dxa" w:w="720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Detail</w:t>
            </w:r>
          </w:p>
        </w:tc>
      </w:tr>
      <w:tr>
        <w:trPr>
          <w:cantSplit/>
        </w:trPr>
        <w:tc>
          <w:tcPr>
            <w:tcW w:type="dxa" w:w="24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Document</w:t>
            </w:r>
          </w:p>
        </w:tc>
        <w:tc>
          <w:tcPr>
            <w:tcW w:type="dxa" w:w="7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Migration and portability proposal — prepared for client review</w:t>
            </w:r>
          </w:p>
        </w:tc>
      </w:tr>
      <w:tr>
        <w:trPr>
          <w:cantSplit/>
        </w:trPr>
        <w:tc>
          <w:tcPr>
            <w:tcW w:type="dxa" w:w="24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Service in scope</w:t>
            </w:r>
          </w:p>
        </w:tc>
        <w:tc>
          <w:tcPr>
            <w:tcW w:type="dxa" w:w="7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SimplerToday AI service (the AI worker that connects to the application backend)</w:t>
            </w:r>
          </w:p>
        </w:tc>
      </w:tr>
      <w:tr>
        <w:trPr>
          <w:cantSplit/>
        </w:trPr>
        <w:tc>
          <w:tcPr>
            <w:tcW w:type="dxa" w:w="24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Codebase</w:t>
            </w:r>
          </w:p>
        </w:tc>
        <w:tc>
          <w:tcPr>
            <w:tcW w:type="dxa" w:w="7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115 modules · ~71,700 lines of Python</w:t>
            </w:r>
          </w:p>
        </w:tc>
      </w:tr>
      <w:tr>
        <w:trPr>
          <w:cantSplit/>
        </w:trPr>
        <w:tc>
          <w:tcPr>
            <w:tcW w:type="dxa" w:w="24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Target clouds</w:t>
            </w:r>
          </w:p>
        </w:tc>
        <w:tc>
          <w:tcPr>
            <w:tcW w:type="dxa" w:w="7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Microsoft Azure · Amazon Web Services</w:t>
            </w:r>
          </w:p>
        </w:tc>
      </w:tr>
      <w:tr>
        <w:trPr>
          <w:cantSplit/>
        </w:trPr>
        <w:tc>
          <w:tcPr>
            <w:tcW w:type="dxa" w:w="24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New capability</w:t>
            </w:r>
          </w:p>
        </w:tc>
        <w:tc>
          <w:tcPr>
            <w:tcW w:type="dxa" w:w="7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Model portability — choose the AI provider and model per feature by configuration</w:t>
            </w:r>
          </w:p>
        </w:tc>
      </w:tr>
      <w:tr>
        <w:trPr>
          <w:cantSplit/>
        </w:trPr>
        <w:tc>
          <w:tcPr>
            <w:tcW w:type="dxa" w:w="24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Version / date</w:t>
            </w:r>
          </w:p>
        </w:tc>
        <w:tc>
          <w:tcPr>
            <w:tcW w:type="dxa" w:w="7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v3.0 · 30 September 2026</w:t>
            </w:r>
          </w:p>
        </w:tc>
      </w:tr>
      <w:tr>
        <w:trPr>
          <w:cantSplit/>
        </w:trPr>
        <w:tc>
          <w:tcPr>
            <w:tcW w:type="dxa" w:w="24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Status</w:t>
            </w:r>
          </w:p>
        </w:tc>
        <w:tc>
          <w:tcPr>
            <w:tcW w:type="dxa" w:w="7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Draft for discussion — cost figures are indicative and must be confirmed before contract</w:t>
            </w:r>
          </w:p>
        </w:tc>
      </w:tr>
    </w:tbl>
    <w:p>
      <w:r>
        <w:br w:type="page"/>
      </w:r>
    </w:p>
    <w:p>
      <w:pPr>
        <w:spacing w:after="200"/>
      </w:pPr>
      <w:r>
        <w:rPr>
          <w:rFonts w:ascii="Calibri" w:cs="Calibri" w:eastAsia="Calibri" w:hAnsi="Calibri"/>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rFonts w:ascii="Calibri" w:cs="Calibri" w:eastAsia="Calibri" w:hAnsi="Calibri"/>
          <w:color w:val="5B6770"/>
          <w:sz w:val="18"/>
          <w:szCs w:val="18"/>
        </w:rPr>
        <w:t xml:space="preserve">Right-click the table above and choose Update Field if page numbers do not appear.</w:t>
      </w:r>
    </w:p>
    <w:p>
      <w:pPr>
        <w:pStyle w:val="Heading1"/>
        <w:pageBreakBefore/>
      </w:pPr>
      <w:r>
        <w:rPr>
          <w:rFonts w:ascii="Calibri" w:cs="Calibri" w:eastAsia="Calibri" w:hAnsi="Calibri"/>
        </w:rPr>
        <w:t xml:space="preserve">1. Executive summary</w:t>
      </w:r>
    </w:p>
    <w:p>
      <w:pPr>
        <w:spacing w:after="120" w:line="276"/>
      </w:pPr>
      <w:r>
        <w:rPr>
          <w:rFonts w:ascii="Calibri" w:cs="Calibri" w:eastAsia="Calibri" w:hAnsi="Calibri"/>
          <w:color w:val="1F2933"/>
          <w:sz w:val="21"/>
          <w:szCs w:val="21"/>
        </w:rPr>
        <w:t xml:space="preserve">This proposal covers two pieces of work:</w:t>
      </w:r>
    </w:p>
    <w:p>
      <w:pPr>
        <w:pStyle w:val="ListParagraph"/>
        <w:numPr>
          <w:ilvl w:val="0"/>
          <w:numId w:val="2"/>
        </w:numPr>
        <w:spacing w:after="60" w:line="276"/>
      </w:pPr>
      <w:r>
        <w:rPr>
          <w:rFonts w:ascii="Calibri" w:cs="Calibri" w:eastAsia="Calibri" w:hAnsi="Calibri"/>
          <w:b/>
          <w:bCs/>
          <w:color w:val="1F2933"/>
          <w:sz w:val="21"/>
          <w:szCs w:val="21"/>
        </w:rPr>
        <w:t xml:space="preserve">Model portability (a new product capability).</w:t>
      </w:r>
      <w:r>
        <w:rPr>
          <w:rFonts w:ascii="Calibri" w:cs="Calibri" w:eastAsia="Calibri" w:hAnsi="Calibri"/>
          <w:color w:val="1F2933"/>
          <w:sz w:val="21"/>
          <w:szCs w:val="21"/>
        </w:rPr>
        <w:t xml:space="preserve"> Today every AI call in the service goes to a single Google model. We will put a provider-neutral model layer in place so that each feature — strategy, analysis report, chat, list of dates, applicable laws, case laws, drafting and the rest — can run on a different provider and model, chosen by configuration: Google Gemini, Azure OpenAI or Amazon Bedrock (Claude). </w:t>
      </w:r>
      <w:r>
        <w:rPr>
          <w:rFonts w:ascii="Calibri" w:cs="Calibri" w:eastAsia="Calibri" w:hAnsi="Calibri"/>
          <w:b/>
          <w:bCs/>
          <w:color w:val="1F2933"/>
          <w:sz w:val="21"/>
          <w:szCs w:val="21"/>
        </w:rPr>
        <w:t xml:space="preserve">Delivered in 4 weeks.</w:t>
      </w:r>
    </w:p>
    <w:p>
      <w:pPr>
        <w:pStyle w:val="ListParagraph"/>
        <w:numPr>
          <w:ilvl w:val="0"/>
          <w:numId w:val="2"/>
        </w:numPr>
        <w:spacing w:after="60" w:line="276"/>
      </w:pPr>
      <w:r>
        <w:rPr>
          <w:rFonts w:ascii="Calibri" w:cs="Calibri" w:eastAsia="Calibri" w:hAnsi="Calibri"/>
          <w:b/>
          <w:bCs/>
          <w:color w:val="1F2933"/>
          <w:sz w:val="21"/>
          <w:szCs w:val="21"/>
        </w:rPr>
        <w:t xml:space="preserve">Cloud migration to Azure or AWS.</w:t>
      </w:r>
      <w:r>
        <w:rPr>
          <w:rFonts w:ascii="Calibri" w:cs="Calibri" w:eastAsia="Calibri" w:hAnsi="Calibri"/>
          <w:color w:val="1F2933"/>
          <w:sz w:val="21"/>
          <w:szCs w:val="21"/>
        </w:rPr>
        <w:t xml:space="preserve"> Moving the service's compute, storage, OCR, transcription, search, language models and embeddings onto the chosen cloud, followed by quality proof, regression and cutover.</w:t>
      </w:r>
    </w:p>
    <w:p>
      <w:pPr>
        <w:spacing w:after="120" w:line="276"/>
      </w:pPr>
      <w:r>
        <w:rPr>
          <w:rFonts w:ascii="Calibri" w:cs="Calibri" w:eastAsia="Calibri" w:hAnsi="Calibri"/>
          <w:color w:val="1F2933"/>
          <w:sz w:val="21"/>
          <w:szCs w:val="21"/>
        </w:rPr>
        <w:t xml:space="preserve">We recommend doing them </w:t>
      </w:r>
      <w:r>
        <w:rPr>
          <w:rFonts w:ascii="Calibri" w:cs="Calibri" w:eastAsia="Calibri" w:hAnsi="Calibri"/>
          <w:b/>
          <w:bCs/>
          <w:color w:val="1F2933"/>
          <w:sz w:val="21"/>
          <w:szCs w:val="21"/>
        </w:rPr>
        <w:t xml:space="preserve">in that order</w:t>
      </w:r>
      <w:r>
        <w:rPr>
          <w:rFonts w:ascii="Calibri" w:cs="Calibri" w:eastAsia="Calibri" w:hAnsi="Calibri"/>
          <w:color w:val="1F2933"/>
          <w:sz w:val="21"/>
          <w:szCs w:val="21"/>
        </w:rPr>
        <w:t xml:space="preserve">. Portability is useful on its own — it removes lock-in to one model vendor immediately — and it turns the hardest part of the migration (the model switch) into a configuration change followed by tuning, rather than a rewrite.</w:t>
      </w:r>
    </w:p>
    <w:p>
      <w:pPr>
        <w:pStyle w:val="Heading2"/>
      </w:pPr>
      <w:r>
        <w:rPr>
          <w:rFonts w:ascii="Calibri" w:cs="Calibri" w:eastAsia="Calibri" w:hAnsi="Calibri"/>
        </w:rPr>
        <w:t xml:space="preserve">1.1 Headline effort and cost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68"/>
        <w:gridCol w:w="1634"/>
        <w:gridCol w:w="2246"/>
        <w:gridCol w:w="2452"/>
      </w:tblGrid>
      <w:tr>
        <w:trPr>
          <w:tblHeader/>
        </w:trPr>
        <w:tc>
          <w:tcPr>
            <w:tcW w:type="dxa" w:w="3268"/>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Work item</w:t>
            </w:r>
          </w:p>
        </w:tc>
        <w:tc>
          <w:tcPr>
            <w:tcW w:type="dxa" w:w="1634"/>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Engineering effort</w:t>
            </w:r>
          </w:p>
        </w:tc>
        <w:tc>
          <w:tcPr>
            <w:tcW w:type="dxa" w:w="2246"/>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Calendar (1 engineer)</w:t>
            </w:r>
          </w:p>
        </w:tc>
        <w:tc>
          <w:tcPr>
            <w:tcW w:type="dxa" w:w="2452"/>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Run cost / month*</w:t>
            </w:r>
          </w:p>
        </w:tc>
      </w:tr>
      <w:tr>
        <w:trPr>
          <w:cantSplit/>
        </w:trPr>
        <w:tc>
          <w:tcPr>
            <w:tcW w:type="dxa" w:w="3268"/>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A · Model portability feature</w:t>
            </w:r>
          </w:p>
        </w:tc>
        <w:tc>
          <w:tcPr>
            <w:tcW w:type="dxa" w:w="163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18–22 days</w:t>
            </w:r>
          </w:p>
        </w:tc>
        <w:tc>
          <w:tcPr>
            <w:tcW w:type="dxa" w:w="224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4 weeks (3 weeks with 2 engineers)</w:t>
            </w:r>
          </w:p>
        </w:tc>
        <w:tc>
          <w:tcPr>
            <w:tcW w:type="dxa" w:w="2452"/>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No change — pay only for the models chosen</w:t>
            </w:r>
          </w:p>
        </w:tc>
      </w:tr>
      <w:tr>
        <w:trPr>
          <w:cantSplit/>
        </w:trPr>
        <w:tc>
          <w:tcPr>
            <w:tcW w:type="dxa" w:w="3268"/>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B · Migrate to Azure (after A)</w:t>
            </w:r>
          </w:p>
        </w:tc>
        <w:tc>
          <w:tcPr>
            <w:tcW w:type="dxa" w:w="163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54–81 days</w:t>
            </w:r>
          </w:p>
        </w:tc>
        <w:tc>
          <w:tcPr>
            <w:tcW w:type="dxa" w:w="224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11–16 weeks</w:t>
            </w:r>
          </w:p>
        </w:tc>
        <w:tc>
          <w:tcPr>
            <w:tcW w:type="dxa" w:w="2452"/>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 $1,540 – $2,460</w:t>
            </w:r>
          </w:p>
        </w:tc>
      </w:tr>
      <w:tr>
        <w:trPr>
          <w:cantSplit/>
        </w:trPr>
        <w:tc>
          <w:tcPr>
            <w:tcW w:type="dxa" w:w="3268"/>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C · Migrate to AWS on EC2 (after A)</w:t>
            </w:r>
          </w:p>
        </w:tc>
        <w:tc>
          <w:tcPr>
            <w:tcW w:type="dxa" w:w="163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58–87 days</w:t>
            </w:r>
          </w:p>
        </w:tc>
        <w:tc>
          <w:tcPr>
            <w:tcW w:type="dxa" w:w="224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12–18 weeks</w:t>
            </w:r>
          </w:p>
        </w:tc>
        <w:tc>
          <w:tcPr>
            <w:tcW w:type="dxa" w:w="2452"/>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 $1,510 – $3,690</w:t>
            </w:r>
          </w:p>
        </w:tc>
      </w:tr>
      <w:tr>
        <w:trPr>
          <w:cantSplit/>
        </w:trPr>
        <w:tc>
          <w:tcPr>
            <w:tcW w:type="dxa" w:w="3268"/>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D · Add the second cloud later (after B or C)</w:t>
            </w:r>
          </w:p>
        </w:tc>
        <w:tc>
          <w:tcPr>
            <w:tcW w:type="dxa" w:w="163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45–70 days</w:t>
            </w:r>
          </w:p>
        </w:tc>
        <w:tc>
          <w:tcPr>
            <w:tcW w:type="dxa" w:w="224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9–14 weeks</w:t>
            </w:r>
          </w:p>
        </w:tc>
        <w:tc>
          <w:tcPr>
            <w:tcW w:type="dxa" w:w="2452"/>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 ≈ $260–350 standby infrastructure</w:t>
            </w:r>
          </w:p>
        </w:tc>
      </w:tr>
      <w:tr>
        <w:trPr>
          <w:cantSplit/>
        </w:trPr>
        <w:tc>
          <w:tcPr>
            <w:tcW w:type="dxa" w:w="3268"/>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Total — A + Azure</w:t>
            </w:r>
          </w:p>
        </w:tc>
        <w:tc>
          <w:tcPr>
            <w:tcW w:type="dxa" w:w="1634"/>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72–103 days</w:t>
            </w:r>
          </w:p>
        </w:tc>
        <w:tc>
          <w:tcPr>
            <w:tcW w:type="dxa" w:w="2246"/>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15–21 weeks</w:t>
            </w:r>
          </w:p>
        </w:tc>
        <w:tc>
          <w:tcPr>
            <w:tcW w:type="dxa" w:w="2452"/>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p>
        </w:tc>
      </w:tr>
      <w:tr>
        <w:trPr>
          <w:cantSplit/>
        </w:trPr>
        <w:tc>
          <w:tcPr>
            <w:tcW w:type="dxa" w:w="3268"/>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Total — A + AWS</w:t>
            </w:r>
          </w:p>
        </w:tc>
        <w:tc>
          <w:tcPr>
            <w:tcW w:type="dxa" w:w="1634"/>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76–109 days</w:t>
            </w:r>
          </w:p>
        </w:tc>
        <w:tc>
          <w:tcPr>
            <w:tcW w:type="dxa" w:w="2246"/>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15–22 weeks</w:t>
            </w:r>
          </w:p>
        </w:tc>
        <w:tc>
          <w:tcPr>
            <w:tcW w:type="dxa" w:w="2452"/>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p>
        </w:tc>
      </w:tr>
    </w:tbl>
    <w:p>
      <w:pPr>
        <w:spacing w:after="200" w:before="60"/>
      </w:pPr>
      <w:r>
        <w:rPr>
          <w:rFonts w:ascii="Calibri" w:cs="Calibri" w:eastAsia="Calibri" w:hAnsi="Calibri"/>
          <w:i/>
          <w:iCs/>
          <w:color w:val="5B6770"/>
          <w:sz w:val="18"/>
          <w:szCs w:val="18"/>
        </w:rPr>
        <w:t xml:space="preserve">* Range spans "economy model everywhere" to "flagship model everywhere" at the modelled volume in section 8. Indicative USD list prices, Mumbai region; confirm in each provider's calculator before quoting.</w:t>
      </w:r>
    </w:p>
    <w:p>
      <w:pPr>
        <w:pStyle w:val="Heading2"/>
      </w:pPr>
      <w:r>
        <w:rPr>
          <w:rFonts w:ascii="Calibri" w:cs="Calibri" w:eastAsia="Calibri" w:hAnsi="Calibri"/>
        </w:rPr>
        <w:t xml:space="preserve">1.2 Our recommendation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single" w:color="1E6B3A" w:sz="24"/>
              <w:bottom w:val="none" w:color="FFFFFF" w:sz="0"/>
              <w:right w:val="none" w:color="FFFFFF" w:sz="0"/>
            </w:tcBorders>
            <w:shd w:fill="E3F2E8" w:color="auto" w:val="clear"/>
            <w:tcMar>
              <w:top w:type="dxa" w:w="140"/>
              <w:left w:type="dxa" w:w="220"/>
              <w:bottom w:type="dxa" w:w="140"/>
              <w:right w:type="dxa" w:w="220"/>
            </w:tcMar>
          </w:tcPr>
          <w:p>
            <w:pPr>
              <w:spacing w:after="80"/>
            </w:pPr>
            <w:r>
              <w:rPr>
                <w:rFonts w:ascii="Calibri" w:cs="Calibri" w:eastAsia="Calibri" w:hAnsi="Calibri"/>
                <w:b/>
                <w:bCs/>
                <w:color w:val="1E6B3A"/>
                <w:sz w:val="21"/>
                <w:szCs w:val="21"/>
              </w:rPr>
              <w:t xml:space="preserve">Recommendation</w:t>
            </w:r>
          </w:p>
          <w:p>
            <w:pPr>
              <w:spacing w:after="60" w:line="276"/>
            </w:pPr>
            <w:r>
              <w:rPr>
                <w:rFonts w:ascii="Calibri" w:cs="Calibri" w:eastAsia="Calibri" w:hAnsi="Calibri"/>
                <w:b/>
                <w:bCs/>
                <w:color w:val="1F2933"/>
                <w:sz w:val="21"/>
                <w:szCs w:val="21"/>
              </w:rPr>
              <w:t xml:space="preserve">Start with the model portability feature (4 weeks).</w:t>
            </w:r>
            <w:r>
              <w:rPr>
                <w:rFonts w:ascii="Calibri" w:cs="Calibri" w:eastAsia="Calibri" w:hAnsi="Calibri"/>
                <w:color w:val="1F2933"/>
                <w:sz w:val="21"/>
                <w:szCs w:val="21"/>
              </w:rPr>
              <w:t xml:space="preserve"> It is self-contained, it does not change the infrastructure, and it lets the team trial Azure OpenAI and Claude on real cases before the cloud decision is locked.</w:t>
            </w:r>
          </w:p>
          <w:p>
            <w:pPr>
              <w:spacing w:after="60" w:line="276"/>
            </w:pPr>
            <w:r>
              <w:rPr>
                <w:rFonts w:ascii="Calibri" w:cs="Calibri" w:eastAsia="Calibri" w:hAnsi="Calibri"/>
                <w:b/>
                <w:bCs/>
                <w:color w:val="1F2933"/>
                <w:sz w:val="21"/>
                <w:szCs w:val="21"/>
              </w:rPr>
              <w:t xml:space="preserve">Then migrate to Azure.</w:t>
            </w:r>
            <w:r>
              <w:rPr>
                <w:rFonts w:ascii="Calibri" w:cs="Calibri" w:eastAsia="Calibri" w:hAnsi="Calibri"/>
                <w:color w:val="1F2933"/>
                <w:sz w:val="21"/>
                <w:szCs w:val="21"/>
              </w:rPr>
              <w:t xml:space="preserve"> Azure has a direct replacement for web search grounding (Bing), no download-link expiry problem, and the lower monthly bill at the flagship tier. Choose AWS only if there is a specific reason — an existing enterprise agreement, or the backend already running on AWS.</w:t>
            </w:r>
          </w:p>
          <w:p>
            <w:pPr>
              <w:spacing w:after="60" w:line="276"/>
            </w:pPr>
            <w:r>
              <w:rPr>
                <w:rFonts w:ascii="Calibri" w:cs="Calibri" w:eastAsia="Calibri" w:hAnsi="Calibri"/>
                <w:b/>
                <w:bCs/>
                <w:color w:val="1F2933"/>
                <w:sz w:val="21"/>
                <w:szCs w:val="21"/>
              </w:rPr>
              <w:t xml:space="preserve">Use portability to control cost.</w:t>
            </w:r>
            <w:r>
              <w:rPr>
                <w:rFonts w:ascii="Calibri" w:cs="Calibri" w:eastAsia="Calibri" w:hAnsi="Calibri"/>
                <w:color w:val="1F2933"/>
                <w:sz w:val="21"/>
                <w:szCs w:val="21"/>
              </w:rPr>
              <w:t xml:space="preserve"> With per-feature model selection, the flagship model can be reserved for the reasoning-heavy panels (strategy, analysis report) and an economy model used for the rest. At the modelled volume this is roughly 25–35% cheaper than flagship everywhere (section 8.4).</w:t>
            </w:r>
          </w:p>
        </w:tc>
      </w:tr>
    </w:tbl>
    <w:p>
      <w:pPr>
        <w:pStyle w:val="Heading2"/>
      </w:pPr>
      <w:r>
        <w:rPr>
          <w:rFonts w:ascii="Calibri" w:cs="Calibri" w:eastAsia="Calibri" w:hAnsi="Calibri"/>
        </w:rPr>
        <w:t xml:space="preserve">1.3 What the 4 weeks does and does not include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single" w:color="1F4E79" w:sz="24"/>
              <w:bottom w:val="none" w:color="FFFFFF" w:sz="0"/>
              <w:right w:val="none" w:color="FFFFFF" w:sz="0"/>
            </w:tcBorders>
            <w:shd w:fill="DCE8F4" w:color="auto" w:val="clear"/>
            <w:tcMar>
              <w:top w:type="dxa" w:w="140"/>
              <w:left w:type="dxa" w:w="220"/>
              <w:bottom w:type="dxa" w:w="140"/>
              <w:right w:type="dxa" w:w="220"/>
            </w:tcMar>
          </w:tcPr>
          <w:p>
            <w:pPr>
              <w:spacing w:after="60" w:line="276"/>
            </w:pPr>
            <w:r>
              <w:rPr>
                <w:rFonts w:ascii="Calibri" w:cs="Calibri" w:eastAsia="Calibri" w:hAnsi="Calibri"/>
                <w:b/>
                <w:bCs/>
                <w:color w:val="1F2933"/>
                <w:sz w:val="21"/>
                <w:szCs w:val="21"/>
              </w:rPr>
              <w:t xml:space="preserve">Included:</w:t>
            </w:r>
            <w:r>
              <w:rPr>
                <w:rFonts w:ascii="Calibri" w:cs="Calibri" w:eastAsia="Calibri" w:hAnsi="Calibri"/>
                <w:color w:val="1F2933"/>
                <w:sz w:val="21"/>
                <w:szCs w:val="21"/>
              </w:rPr>
              <w:t xml:space="preserve"> the model layer, adapters for Gemini, Azure OpenAI and Amazon Bedrock, per-feature model selection, embeddings of any size, per-model cost tracking, an automated check that every feature returns valid output on every configured model, and documentation.</w:t>
            </w:r>
          </w:p>
          <w:p>
            <w:pPr>
              <w:spacing w:after="60" w:line="276"/>
            </w:pPr>
            <w:r>
              <w:rPr>
                <w:rFonts w:ascii="Calibri" w:cs="Calibri" w:eastAsia="Calibri" w:hAnsi="Calibri"/>
                <w:b/>
                <w:bCs/>
                <w:color w:val="1F2933"/>
                <w:sz w:val="21"/>
                <w:szCs w:val="21"/>
              </w:rPr>
              <w:t xml:space="preserve">Not included:</w:t>
            </w:r>
            <w:r>
              <w:rPr>
                <w:rFonts w:ascii="Calibri" w:cs="Calibri" w:eastAsia="Calibri" w:hAnsi="Calibri"/>
                <w:color w:val="1F2933"/>
                <w:sz w:val="21"/>
                <w:szCs w:val="21"/>
              </w:rPr>
              <w:t xml:space="preserve"> making every model produce equally good legal output. Each new model needs its prompts tuned and its quality proven against a golden set of real cases. That work is part of the migration (sections 6 and 7), because the model it has to be done for is the one the chosen cloud provides.</w:t>
            </w:r>
          </w:p>
        </w:tc>
      </w:tr>
    </w:tbl>
    <w:p>
      <w:pPr>
        <w:pStyle w:val="Heading1"/>
        <w:pageBreakBefore/>
      </w:pPr>
      <w:r>
        <w:rPr>
          <w:rFonts w:ascii="Calibri" w:cs="Calibri" w:eastAsia="Calibri" w:hAnsi="Calibri"/>
        </w:rPr>
        <w:t xml:space="preserve">2. Scope</w:t>
      </w:r>
    </w:p>
    <w:p>
      <w:pPr>
        <w:pStyle w:val="Heading2"/>
      </w:pPr>
      <w:r>
        <w:rPr>
          <w:rFonts w:ascii="Calibri" w:cs="Calibri" w:eastAsia="Calibri" w:hAnsi="Calibri"/>
        </w:rPr>
        <w:t xml:space="preserve">2.1 In scope</w:t>
      </w:r>
    </w:p>
    <w:p>
      <w:pPr>
        <w:pStyle w:val="ListParagraph"/>
        <w:numPr>
          <w:ilvl w:val="0"/>
          <w:numId w:val="3"/>
        </w:numPr>
        <w:spacing w:after="60" w:line="276"/>
      </w:pPr>
      <w:r>
        <w:rPr>
          <w:rFonts w:ascii="Calibri" w:cs="Calibri" w:eastAsia="Calibri" w:hAnsi="Calibri"/>
          <w:color w:val="1F2933"/>
          <w:sz w:val="21"/>
          <w:szCs w:val="21"/>
        </w:rPr>
        <w:t xml:space="preserve">The SimplerToday AI service: the process that receives workspace and chat events from the application backend, processes evidence, and returns the ten intelligence panels and chat replies.</w:t>
      </w:r>
    </w:p>
    <w:p>
      <w:pPr>
        <w:pStyle w:val="ListParagraph"/>
        <w:numPr>
          <w:ilvl w:val="0"/>
          <w:numId w:val="3"/>
        </w:numPr>
        <w:spacing w:after="60" w:line="276"/>
      </w:pPr>
      <w:r>
        <w:rPr>
          <w:rFonts w:ascii="Calibri" w:cs="Calibri" w:eastAsia="Calibri" w:hAnsi="Calibri"/>
          <w:color w:val="1F2933"/>
          <w:sz w:val="21"/>
          <w:szCs w:val="21"/>
        </w:rPr>
        <w:t xml:space="preserve">The model portability feature described in section 4.</w:t>
      </w:r>
    </w:p>
    <w:p>
      <w:pPr>
        <w:pStyle w:val="ListParagraph"/>
        <w:numPr>
          <w:ilvl w:val="0"/>
          <w:numId w:val="3"/>
        </w:numPr>
        <w:spacing w:after="60" w:line="276"/>
      </w:pPr>
      <w:r>
        <w:rPr>
          <w:rFonts w:ascii="Calibri" w:cs="Calibri" w:eastAsia="Calibri" w:hAnsi="Calibri"/>
          <w:color w:val="1F2933"/>
          <w:sz w:val="21"/>
          <w:szCs w:val="21"/>
        </w:rPr>
        <w:t xml:space="preserve">Migration of every cloud dependency of the service to Azure or AWS: compute, object storage, OCR, audio transcription, legal search, web grounding, language models and embeddings.</w:t>
      </w:r>
    </w:p>
    <w:p>
      <w:pPr>
        <w:pStyle w:val="ListParagraph"/>
        <w:numPr>
          <w:ilvl w:val="0"/>
          <w:numId w:val="3"/>
        </w:numPr>
        <w:spacing w:after="60" w:line="276"/>
      </w:pPr>
      <w:r>
        <w:rPr>
          <w:rFonts w:ascii="Calibri" w:cs="Calibri" w:eastAsia="Calibri" w:hAnsi="Calibri"/>
          <w:color w:val="1F2933"/>
          <w:sz w:val="21"/>
          <w:szCs w:val="21"/>
        </w:rPr>
        <w:t xml:space="preserve">Data migration: object storage, the Qdrant vector store and stored storage references.</w:t>
      </w:r>
    </w:p>
    <w:p>
      <w:pPr>
        <w:pStyle w:val="ListParagraph"/>
        <w:numPr>
          <w:ilvl w:val="0"/>
          <w:numId w:val="3"/>
        </w:numPr>
        <w:spacing w:after="60" w:line="276"/>
      </w:pPr>
      <w:r>
        <w:rPr>
          <w:rFonts w:ascii="Calibri" w:cs="Calibri" w:eastAsia="Calibri" w:hAnsi="Calibri"/>
          <w:color w:val="1F2933"/>
          <w:sz w:val="21"/>
          <w:szCs w:val="21"/>
        </w:rPr>
        <w:t xml:space="preserve">Quality proof, regression testing, cutover, rollback and handover.</w:t>
      </w:r>
    </w:p>
    <w:p>
      <w:pPr>
        <w:pStyle w:val="Heading2"/>
      </w:pPr>
      <w:r>
        <w:rPr>
          <w:rFonts w:ascii="Calibri" w:cs="Calibri" w:eastAsia="Calibri" w:hAnsi="Calibri"/>
        </w:rPr>
        <w:t xml:space="preserve">2.2 Out of scope</w:t>
      </w:r>
    </w:p>
    <w:p>
      <w:pPr>
        <w:pStyle w:val="ListParagraph"/>
        <w:numPr>
          <w:ilvl w:val="0"/>
          <w:numId w:val="3"/>
        </w:numPr>
        <w:spacing w:after="60" w:line="276"/>
      </w:pPr>
      <w:r>
        <w:rPr>
          <w:rFonts w:ascii="Calibri" w:cs="Calibri" w:eastAsia="Calibri" w:hAnsi="Calibri"/>
          <w:color w:val="1F2933"/>
          <w:sz w:val="21"/>
          <w:szCs w:val="21"/>
        </w:rPr>
        <w:t xml:space="preserve">The application backend, its database and its file storage (a separate assessment if it is also moving).</w:t>
      </w:r>
    </w:p>
    <w:p>
      <w:pPr>
        <w:pStyle w:val="ListParagraph"/>
        <w:numPr>
          <w:ilvl w:val="0"/>
          <w:numId w:val="3"/>
        </w:numPr>
        <w:spacing w:after="60" w:line="276"/>
      </w:pPr>
      <w:r>
        <w:rPr>
          <w:rFonts w:ascii="Calibri" w:cs="Calibri" w:eastAsia="Calibri" w:hAnsi="Calibri"/>
          <w:color w:val="1F2933"/>
          <w:sz w:val="21"/>
          <w:szCs w:val="21"/>
        </w:rPr>
        <w:t xml:space="preserve">High availability, multi-region or active/active deployment (quoted separately, section 9 R-04).</w:t>
      </w:r>
    </w:p>
    <w:p>
      <w:pPr>
        <w:pStyle w:val="ListParagraph"/>
        <w:numPr>
          <w:ilvl w:val="0"/>
          <w:numId w:val="3"/>
        </w:numPr>
        <w:spacing w:after="60" w:line="276"/>
      </w:pPr>
      <w:r>
        <w:rPr>
          <w:rFonts w:ascii="Calibri" w:cs="Calibri" w:eastAsia="Calibri" w:hAnsi="Calibri"/>
          <w:color w:val="1F2933"/>
          <w:sz w:val="21"/>
          <w:szCs w:val="21"/>
        </w:rPr>
        <w:t xml:space="preserve">Changes to product behaviour or feature scope.</w:t>
      </w:r>
    </w:p>
    <w:p>
      <w:pPr>
        <w:pStyle w:val="ListParagraph"/>
        <w:numPr>
          <w:ilvl w:val="0"/>
          <w:numId w:val="3"/>
        </w:numPr>
        <w:spacing w:after="60" w:line="276"/>
      </w:pPr>
      <w:r>
        <w:rPr>
          <w:rFonts w:ascii="Calibri" w:cs="Calibri" w:eastAsia="Calibri" w:hAnsi="Calibri"/>
          <w:color w:val="1F2933"/>
          <w:sz w:val="21"/>
          <w:szCs w:val="21"/>
        </w:rPr>
        <w:t xml:space="preserve">The vendored Keel knowledge-plane copy, which does not run as part of this service.</w:t>
      </w:r>
    </w:p>
    <w:p>
      <w:pPr>
        <w:pStyle w:val="ListParagraph"/>
        <w:numPr>
          <w:ilvl w:val="0"/>
          <w:numId w:val="3"/>
        </w:numPr>
        <w:spacing w:after="60" w:line="276"/>
      </w:pPr>
      <w:r>
        <w:rPr>
          <w:rFonts w:ascii="Calibri" w:cs="Calibri" w:eastAsia="Calibri" w:hAnsi="Calibri"/>
          <w:color w:val="1F2933"/>
          <w:sz w:val="21"/>
          <w:szCs w:val="21"/>
        </w:rPr>
        <w:t xml:space="preserve">Firm infrastructure or model pricing — section 8 is an indicative model, not a quote.</w:t>
      </w:r>
    </w:p>
    <w:p>
      <w:pPr>
        <w:pStyle w:val="Heading1"/>
        <w:pageBreakBefore/>
      </w:pPr>
      <w:r>
        <w:rPr>
          <w:rFonts w:ascii="Calibri" w:cs="Calibri" w:eastAsia="Calibri" w:hAnsi="Calibri"/>
        </w:rPr>
        <w:t xml:space="preserve">3. What the codebase review found</w:t>
      </w:r>
    </w:p>
    <w:p>
      <w:pPr>
        <w:spacing w:after="120" w:line="276"/>
      </w:pPr>
      <w:r>
        <w:rPr>
          <w:rFonts w:ascii="Calibri" w:cs="Calibri" w:eastAsia="Calibri" w:hAnsi="Calibri"/>
          <w:color w:val="1F2933"/>
          <w:sz w:val="21"/>
          <w:szCs w:val="21"/>
        </w:rPr>
        <w:t xml:space="preserve">We reviewed the code on the current branch before estimating. These findings shape both the portability design and the migration plan.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33"/>
        <w:gridCol w:w="5226"/>
        <w:gridCol w:w="3841"/>
      </w:tblGrid>
      <w:tr>
        <w:trPr>
          <w:tblHeader/>
        </w:trPr>
        <w:tc>
          <w:tcPr>
            <w:tcW w:type="dxa" w:w="533"/>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w:t>
            </w:r>
          </w:p>
        </w:tc>
        <w:tc>
          <w:tcPr>
            <w:tcW w:type="dxa" w:w="5226"/>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Finding</w:t>
            </w:r>
          </w:p>
        </w:tc>
        <w:tc>
          <w:tcPr>
            <w:tcW w:type="dxa" w:w="3841"/>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What it means for this work</w:t>
            </w:r>
          </w:p>
        </w:tc>
      </w:tr>
      <w:tr>
        <w:trPr>
          <w:cantSplit/>
        </w:trPr>
        <w:tc>
          <w:tcPr>
            <w:tcW w:type="dxa" w:w="53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F-1</w:t>
            </w:r>
          </w:p>
        </w:tc>
        <w:tc>
          <w:tcPr>
            <w:tcW w:type="dxa" w:w="522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One model serves every feature.</w:t>
            </w:r>
            <w:r>
              <w:rPr>
                <w:rFonts w:ascii="Calibri" w:cs="Calibri" w:eastAsia="Calibri" w:hAnsi="Calibri"/>
                <w:b w:val="false"/>
                <w:bCs w:val="false"/>
                <w:color w:val="1F2933"/>
                <w:sz w:val="19"/>
                <w:szCs w:val="19"/>
              </w:rPr>
              <w:t xml:space="preserve"> A single configured model handles all calls; heavier reasoning is a per-call setting, not a separate model.</w:t>
            </w:r>
          </w:p>
        </w:tc>
        <w:tc>
          <w:tcPr>
            <w:tcW w:type="dxa" w:w="384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Portability adds genuine per-feature model choice for the first time — the basis of the cost optimisation in section 8.4.</w:t>
            </w:r>
          </w:p>
        </w:tc>
      </w:tr>
      <w:tr>
        <w:trPr>
          <w:cantSplit/>
        </w:trPr>
        <w:tc>
          <w:tcPr>
            <w:tcW w:type="dxa" w:w="53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F-2</w:t>
            </w:r>
          </w:p>
        </w:tc>
        <w:tc>
          <w:tcPr>
            <w:tcW w:type="dxa" w:w="522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The model is called from many places.</w:t>
            </w:r>
            <w:r>
              <w:rPr>
                <w:rFonts w:ascii="Calibri" w:cs="Calibri" w:eastAsia="Calibri" w:hAnsi="Calibri"/>
                <w:b w:val="false"/>
                <w:bCs w:val="false"/>
                <w:color w:val="1F2933"/>
                <w:sz w:val="19"/>
                <w:szCs w:val="19"/>
              </w:rPr>
              <w:t xml:space="preserve"> 77 generation call sites plus long-form, grounded-search, chat and embedding paths, with provider-specific options (JSON mode ×62, system instructions ×58, reasoning levels, safety settings ×12). Five further calls use an older SDK directly.</w:t>
            </w:r>
          </w:p>
        </w:tc>
        <w:tc>
          <w:tcPr>
            <w:tcW w:type="dxa" w:w="384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All of these move onto the new model layer in weeks 1–2 of the portability feature.</w:t>
            </w:r>
          </w:p>
        </w:tc>
      </w:tr>
      <w:tr>
        <w:trPr>
          <w:cantSplit/>
        </w:trPr>
        <w:tc>
          <w:tcPr>
            <w:tcW w:type="dxa" w:w="53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F-3</w:t>
            </w:r>
          </w:p>
        </w:tc>
        <w:tc>
          <w:tcPr>
            <w:tcW w:type="dxa" w:w="522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No quality-evaluation harness or golden set exists,</w:t>
            </w:r>
            <w:r>
              <w:rPr>
                <w:rFonts w:ascii="Calibri" w:cs="Calibri" w:eastAsia="Calibri" w:hAnsi="Calibri"/>
                <w:b w:val="false"/>
                <w:bCs w:val="false"/>
                <w:color w:val="1F2933"/>
                <w:sz w:val="19"/>
                <w:szCs w:val="19"/>
              </w:rPr>
              <w:t xml:space="preserve"> and no automated test suite for the AI flows. Offline verification scripts exist for several socket flows.</w:t>
            </w:r>
          </w:p>
        </w:tc>
        <w:tc>
          <w:tcPr>
            <w:tcW w:type="dxa" w:w="384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Portability ships a structural check (valid output per feature per model). The full quality golden set is built in the migration (WS-15).</w:t>
            </w:r>
          </w:p>
        </w:tc>
      </w:tr>
      <w:tr>
        <w:trPr>
          <w:cantSplit/>
        </w:trPr>
        <w:tc>
          <w:tcPr>
            <w:tcW w:type="dxa" w:w="53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F-4</w:t>
            </w:r>
          </w:p>
        </w:tc>
        <w:tc>
          <w:tcPr>
            <w:tcW w:type="dxa" w:w="522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Embeddings are forced to 768 dimensions,</w:t>
            </w:r>
            <w:r>
              <w:rPr>
                <w:rFonts w:ascii="Calibri" w:cs="Calibri" w:eastAsia="Calibri" w:hAnsi="Calibri"/>
                <w:b w:val="false"/>
                <w:bCs w:val="false"/>
                <w:color w:val="1F2933"/>
                <w:sz w:val="19"/>
                <w:szCs w:val="19"/>
              </w:rPr>
              <w:t xml:space="preserve"> silently padding or truncating, and an all-zero vector is used on failure.</w:t>
            </w:r>
          </w:p>
        </w:tc>
        <w:tc>
          <w:tcPr>
            <w:tcW w:type="dxa" w:w="384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Fixed in the portability feature: each embedding model gets its own vector collection and a mismatch fails loudly.</w:t>
            </w:r>
          </w:p>
        </w:tc>
      </w:tr>
      <w:tr>
        <w:trPr>
          <w:cantSplit/>
        </w:trPr>
        <w:tc>
          <w:tcPr>
            <w:tcW w:type="dxa" w:w="53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F-5</w:t>
            </w:r>
          </w:p>
        </w:tc>
        <w:tc>
          <w:tcPr>
            <w:tcW w:type="dxa" w:w="522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Only one instance can connect to the backend at a time.</w:t>
            </w:r>
            <w:r>
              <w:rPr>
                <w:rFonts w:ascii="Calibri" w:cs="Calibri" w:eastAsia="Calibri" w:hAnsi="Calibri"/>
                <w:b w:val="false"/>
                <w:bCs w:val="false"/>
                <w:color w:val="1F2933"/>
                <w:sz w:val="19"/>
                <w:szCs w:val="19"/>
              </w:rPr>
              <w:t xml:space="preserve"> Workspace state is held in memory and re-sent on reconnect.</w:t>
            </w:r>
          </w:p>
        </w:tc>
        <w:tc>
          <w:tcPr>
            <w:tcW w:type="dxa" w:w="384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Deploy single-instance with automatic restart on either cloud. Running both clouds live for the same clients needs re-architecture.</w:t>
            </w:r>
          </w:p>
        </w:tc>
      </w:tr>
      <w:tr>
        <w:trPr>
          <w:cantSplit/>
        </w:trPr>
        <w:tc>
          <w:tcPr>
            <w:tcW w:type="dxa" w:w="53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F-6</w:t>
            </w:r>
          </w:p>
        </w:tc>
        <w:tc>
          <w:tcPr>
            <w:tcW w:type="dxa" w:w="522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Evidence download is already cloud-neutral</w:t>
            </w:r>
            <w:r>
              <w:rPr>
                <w:rFonts w:ascii="Calibri" w:cs="Calibri" w:eastAsia="Calibri" w:hAnsi="Calibri"/>
                <w:b w:val="false"/>
                <w:bCs w:val="false"/>
                <w:color w:val="1F2933"/>
                <w:sz w:val="19"/>
                <w:szCs w:val="19"/>
              </w:rPr>
              <w:t xml:space="preserve"> (signed links fetched over HTTPS).</w:t>
            </w:r>
          </w:p>
        </w:tc>
        <w:tc>
          <w:tcPr>
            <w:tcW w:type="dxa" w:w="384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Ingestion works from Azure or AWS unchanged.</w:t>
            </w:r>
          </w:p>
        </w:tc>
      </w:tr>
      <w:tr>
        <w:trPr>
          <w:cantSplit/>
        </w:trPr>
        <w:tc>
          <w:tcPr>
            <w:tcW w:type="dxa" w:w="53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F-7</w:t>
            </w:r>
          </w:p>
        </w:tc>
        <w:tc>
          <w:tcPr>
            <w:tcW w:type="dxa" w:w="522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Audio reaches the model only as text</w:t>
            </w:r>
            <w:r>
              <w:rPr>
                <w:rFonts w:ascii="Calibri" w:cs="Calibri" w:eastAsia="Calibri" w:hAnsi="Calibri"/>
                <w:b w:val="false"/>
                <w:bCs w:val="false"/>
                <w:color w:val="1F2933"/>
                <w:sz w:val="19"/>
                <w:szCs w:val="19"/>
              </w:rPr>
              <w:t xml:space="preserve"> (the transcript).</w:t>
            </w:r>
          </w:p>
        </w:tc>
        <w:tc>
          <w:tcPr>
            <w:tcW w:type="dxa" w:w="384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No audio-capable model is required on either cloud.</w:t>
            </w:r>
          </w:p>
        </w:tc>
      </w:tr>
      <w:tr>
        <w:trPr>
          <w:cantSplit/>
        </w:trPr>
        <w:tc>
          <w:tcPr>
            <w:tcW w:type="dxa" w:w="53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F-8</w:t>
            </w:r>
          </w:p>
        </w:tc>
        <w:tc>
          <w:tcPr>
            <w:tcW w:type="dxa" w:w="522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Cloud credential key files are present in the application working tree.</w:t>
            </w:r>
          </w:p>
        </w:tc>
        <w:tc>
          <w:tcPr>
            <w:tcW w:type="dxa" w:w="384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Rotated and revoked during migration (WS-09); replaced by managed identity / IAM roles.</w:t>
            </w:r>
          </w:p>
        </w:tc>
      </w:tr>
    </w:tbl>
    <w:p>
      <w:pPr>
        <w:pStyle w:val="Heading1"/>
        <w:pageBreakBefore/>
      </w:pPr>
      <w:r>
        <w:rPr>
          <w:rFonts w:ascii="Calibri" w:cs="Calibri" w:eastAsia="Calibri" w:hAnsi="Calibri"/>
        </w:rPr>
        <w:t xml:space="preserve">4. Model portability — the feature</w:t>
      </w:r>
    </w:p>
    <w:p>
      <w:pPr>
        <w:pStyle w:val="Heading2"/>
      </w:pPr>
      <w:r>
        <w:rPr>
          <w:rFonts w:ascii="Calibri" w:cs="Calibri" w:eastAsia="Calibri" w:hAnsi="Calibri"/>
        </w:rPr>
        <w:t xml:space="preserve">4.1 What it delivers</w:t>
      </w:r>
    </w:p>
    <w:p>
      <w:pPr>
        <w:spacing w:after="120" w:line="276"/>
      </w:pPr>
      <w:r>
        <w:rPr>
          <w:rFonts w:ascii="Calibri" w:cs="Calibri" w:eastAsia="Calibri" w:hAnsi="Calibri"/>
          <w:color w:val="1F2933"/>
          <w:sz w:val="21"/>
          <w:szCs w:val="21"/>
        </w:rPr>
        <w:t xml:space="preserve">Each feature of the product is mapped to a </w:t>
      </w:r>
      <w:r>
        <w:rPr>
          <w:rFonts w:ascii="Calibri" w:cs="Calibri" w:eastAsia="Calibri" w:hAnsi="Calibri"/>
          <w:b/>
          <w:bCs/>
          <w:color w:val="1F2933"/>
          <w:sz w:val="21"/>
          <w:szCs w:val="21"/>
        </w:rPr>
        <w:t xml:space="preserve">model profile</w:t>
      </w:r>
      <w:r>
        <w:rPr>
          <w:rFonts w:ascii="Calibri" w:cs="Calibri" w:eastAsia="Calibri" w:hAnsi="Calibri"/>
          <w:color w:val="1F2933"/>
          <w:sz w:val="21"/>
          <w:szCs w:val="21"/>
        </w:rPr>
        <w:t xml:space="preserve"> in configuration: which provider, which model, and which settings. Changing a feature's model is a configuration change and a restart — no code change.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Feature</w:t>
            </w:r>
          </w:p>
        </w:tc>
        <w:tc>
          <w:tcPr>
            <w:tcW w:type="dxa" w:w="320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Example profile — cost-optimised</w:t>
            </w:r>
          </w:p>
        </w:tc>
        <w:tc>
          <w:tcPr>
            <w:tcW w:type="dxa" w:w="320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Example profile — quality-first</w:t>
            </w:r>
          </w:p>
        </w:tc>
      </w:tr>
      <w:tr>
        <w:trPr>
          <w:cantSplit/>
        </w:trPr>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Strategy &amp; objective, objective change</w:t>
            </w:r>
          </w:p>
        </w:tc>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Flagship (Azure OpenAI or Claude Opus tier)</w:t>
            </w:r>
          </w:p>
        </w:tc>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Flagship</w:t>
            </w:r>
          </w:p>
        </w:tc>
      </w:tr>
      <w:tr>
        <w:trPr>
          <w:cantSplit/>
        </w:trPr>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Analysis report &amp; quality score</w:t>
            </w:r>
          </w:p>
        </w:tc>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Flagship</w:t>
            </w:r>
          </w:p>
        </w:tc>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Flagship</w:t>
            </w:r>
          </w:p>
        </w:tc>
      </w:tr>
      <w:tr>
        <w:trPr>
          <w:cantSplit/>
        </w:trPr>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Intelligence chat</w:t>
            </w:r>
          </w:p>
        </w:tc>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Economy</w:t>
            </w:r>
          </w:p>
        </w:tc>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Flagship</w:t>
            </w:r>
          </w:p>
        </w:tc>
      </w:tr>
      <w:tr>
        <w:trPr>
          <w:cantSplit/>
        </w:trPr>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List of dates, procedural timeline</w:t>
            </w:r>
          </w:p>
        </w:tc>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Economy</w:t>
            </w:r>
          </w:p>
        </w:tc>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Flagship</w:t>
            </w:r>
          </w:p>
        </w:tc>
      </w:tr>
      <w:tr>
        <w:trPr>
          <w:cantSplit/>
        </w:trPr>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Applicable laws, case laws (+ grounding)</w:t>
            </w:r>
          </w:p>
        </w:tc>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Economy with web grounding</w:t>
            </w:r>
          </w:p>
        </w:tc>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Flagship with web grounding</w:t>
            </w:r>
          </w:p>
        </w:tc>
      </w:tr>
      <w:tr>
        <w:trPr>
          <w:cantSplit/>
        </w:trPr>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Relevant parties, workspace metadata, suggestion chips</w:t>
            </w:r>
          </w:p>
        </w:tc>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Economy</w:t>
            </w:r>
          </w:p>
        </w:tc>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Economy</w:t>
            </w:r>
          </w:p>
        </w:tc>
      </w:tr>
      <w:tr>
        <w:trPr>
          <w:cantSplit/>
        </w:trPr>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Drafting assistant</w:t>
            </w:r>
          </w:p>
        </w:tc>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Flagship</w:t>
            </w:r>
          </w:p>
        </w:tc>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Flagship</w:t>
            </w:r>
          </w:p>
        </w:tc>
      </w:tr>
      <w:tr>
        <w:trPr>
          <w:cantSplit/>
        </w:trPr>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Document summaries, transcript clean-up</w:t>
            </w:r>
          </w:p>
        </w:tc>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Economy</w:t>
            </w:r>
          </w:p>
        </w:tc>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Economy</w:t>
            </w:r>
          </w:p>
        </w:tc>
      </w:tr>
      <w:tr>
        <w:trPr>
          <w:cantSplit/>
        </w:trPr>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Embeddings (retrieval)</w:t>
            </w:r>
          </w:p>
        </w:tc>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One embedding model per deployment</w:t>
            </w:r>
          </w:p>
        </w:tc>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One embedding model per deployment</w:t>
            </w:r>
          </w:p>
        </w:tc>
      </w:tr>
    </w:tbl>
    <w:p>
      <w:pPr>
        <w:spacing w:after="200" w:before="60"/>
      </w:pPr>
      <w:r>
        <w:rPr>
          <w:rFonts w:ascii="Calibri" w:cs="Calibri" w:eastAsia="Calibri" w:hAnsi="Calibri"/>
          <w:i/>
          <w:iCs/>
          <w:color w:val="5B6770"/>
          <w:sz w:val="18"/>
          <w:szCs w:val="18"/>
        </w:rPr>
        <w:t xml:space="preserve">Profiles are illustrative; the final mapping is agreed with the client after the quality check in the migration.</w:t>
      </w:r>
    </w:p>
    <w:p>
      <w:pPr>
        <w:pStyle w:val="Heading2"/>
      </w:pPr>
      <w:r>
        <w:rPr>
          <w:rFonts w:ascii="Calibri" w:cs="Calibri" w:eastAsia="Calibri" w:hAnsi="Calibri"/>
        </w:rPr>
        <w:t xml:space="preserve">4.2 How it works</w:t>
      </w:r>
    </w:p>
    <w:p>
      <w:pPr>
        <w:pStyle w:val="ListParagraph"/>
        <w:numPr>
          <w:ilvl w:val="0"/>
          <w:numId w:val="3"/>
        </w:numPr>
        <w:spacing w:after="60" w:line="276"/>
      </w:pPr>
      <w:r>
        <w:rPr>
          <w:rFonts w:ascii="Calibri" w:cs="Calibri" w:eastAsia="Calibri" w:hAnsi="Calibri"/>
          <w:b/>
          <w:bCs/>
          <w:color w:val="1F2933"/>
          <w:sz w:val="21"/>
          <w:szCs w:val="21"/>
        </w:rPr>
        <w:t xml:space="preserve">One model interface</w:t>
      </w:r>
      <w:r>
        <w:rPr>
          <w:rFonts w:ascii="Calibri" w:cs="Calibri" w:eastAsia="Calibri" w:hAnsi="Calibri"/>
          <w:color w:val="1F2933"/>
          <w:sz w:val="21"/>
          <w:szCs w:val="21"/>
        </w:rPr>
        <w:t xml:space="preserve"> for every kind of call the product makes: plain and structured (JSON) generation, long answers that continue automatically when a model stops early, chat, generation grounded in web search, and embeddings.</w:t>
      </w:r>
    </w:p>
    <w:p>
      <w:pPr>
        <w:pStyle w:val="ListParagraph"/>
        <w:numPr>
          <w:ilvl w:val="0"/>
          <w:numId w:val="3"/>
        </w:numPr>
        <w:spacing w:after="60" w:line="276"/>
      </w:pPr>
      <w:r>
        <w:rPr>
          <w:rFonts w:ascii="Calibri" w:cs="Calibri" w:eastAsia="Calibri" w:hAnsi="Calibri"/>
          <w:b/>
          <w:bCs/>
          <w:color w:val="1F2933"/>
          <w:sz w:val="21"/>
          <w:szCs w:val="21"/>
        </w:rPr>
        <w:t xml:space="preserve">Adapters</w:t>
      </w:r>
      <w:r>
        <w:rPr>
          <w:rFonts w:ascii="Calibri" w:cs="Calibri" w:eastAsia="Calibri" w:hAnsi="Calibri"/>
          <w:color w:val="1F2933"/>
          <w:sz w:val="21"/>
          <w:szCs w:val="21"/>
        </w:rPr>
        <w:t xml:space="preserve"> for Google Gemini, Azure OpenAI and Amazon Bedrock. Each adapter translates the common request into that provider's API and translates back token usage, stop reasons and errors in one common shape, so every feature handles failures the same way whichever model it uses.</w:t>
      </w:r>
    </w:p>
    <w:p>
      <w:pPr>
        <w:pStyle w:val="ListParagraph"/>
        <w:numPr>
          <w:ilvl w:val="0"/>
          <w:numId w:val="3"/>
        </w:numPr>
        <w:spacing w:after="60" w:line="276"/>
      </w:pPr>
      <w:r>
        <w:rPr>
          <w:rFonts w:ascii="Calibri" w:cs="Calibri" w:eastAsia="Calibri" w:hAnsi="Calibri"/>
          <w:b/>
          <w:bCs/>
          <w:color w:val="1F2933"/>
          <w:sz w:val="21"/>
          <w:szCs w:val="21"/>
        </w:rPr>
        <w:t xml:space="preserve">Per-feature routing</w:t>
      </w:r>
      <w:r>
        <w:rPr>
          <w:rFonts w:ascii="Calibri" w:cs="Calibri" w:eastAsia="Calibri" w:hAnsi="Calibri"/>
          <w:color w:val="1F2933"/>
          <w:sz w:val="21"/>
          <w:szCs w:val="21"/>
        </w:rPr>
        <w:t xml:space="preserve"> from configuration, with an optional fallback model per feature for when a provider is unavailable or rate-limited.</w:t>
      </w:r>
    </w:p>
    <w:p>
      <w:pPr>
        <w:pStyle w:val="ListParagraph"/>
        <w:numPr>
          <w:ilvl w:val="0"/>
          <w:numId w:val="3"/>
        </w:numPr>
        <w:spacing w:after="60" w:line="276"/>
      </w:pPr>
      <w:r>
        <w:rPr>
          <w:rFonts w:ascii="Calibri" w:cs="Calibri" w:eastAsia="Calibri" w:hAnsi="Calibri"/>
          <w:b/>
          <w:bCs/>
          <w:color w:val="1F2933"/>
          <w:sz w:val="21"/>
          <w:szCs w:val="21"/>
        </w:rPr>
        <w:t xml:space="preserve">Embeddings of any size:</w:t>
      </w:r>
      <w:r>
        <w:rPr>
          <w:rFonts w:ascii="Calibri" w:cs="Calibri" w:eastAsia="Calibri" w:hAnsi="Calibri"/>
          <w:color w:val="1F2933"/>
          <w:sz w:val="21"/>
          <w:szCs w:val="21"/>
        </w:rPr>
        <w:t xml:space="preserve"> each embedding model gets its own vector collection; a size mismatch stops with a clear error instead of silently degrading retrieval.</w:t>
      </w:r>
    </w:p>
    <w:p>
      <w:pPr>
        <w:pStyle w:val="ListParagraph"/>
        <w:numPr>
          <w:ilvl w:val="0"/>
          <w:numId w:val="3"/>
        </w:numPr>
        <w:spacing w:after="60" w:line="276"/>
      </w:pPr>
      <w:r>
        <w:rPr>
          <w:rFonts w:ascii="Calibri" w:cs="Calibri" w:eastAsia="Calibri" w:hAnsi="Calibri"/>
          <w:b/>
          <w:bCs/>
          <w:color w:val="1F2933"/>
          <w:sz w:val="21"/>
          <w:szCs w:val="21"/>
        </w:rPr>
        <w:t xml:space="preserve">Per-model cost tracking:</w:t>
      </w:r>
      <w:r>
        <w:rPr>
          <w:rFonts w:ascii="Calibri" w:cs="Calibri" w:eastAsia="Calibri" w:hAnsi="Calibri"/>
          <w:color w:val="1F2933"/>
          <w:sz w:val="21"/>
          <w:szCs w:val="21"/>
        </w:rPr>
        <w:t xml:space="preserve"> every response still reports its usage and price, now priced from the rate card of the model that actually served it.</w:t>
      </w:r>
    </w:p>
    <w:p>
      <w:pPr>
        <w:pStyle w:val="ListParagraph"/>
        <w:numPr>
          <w:ilvl w:val="0"/>
          <w:numId w:val="3"/>
        </w:numPr>
        <w:spacing w:after="60" w:line="276"/>
      </w:pPr>
      <w:r>
        <w:rPr>
          <w:rFonts w:ascii="Calibri" w:cs="Calibri" w:eastAsia="Calibri" w:hAnsi="Calibri"/>
          <w:b/>
          <w:bCs/>
          <w:color w:val="1F2933"/>
          <w:sz w:val="21"/>
          <w:szCs w:val="21"/>
        </w:rPr>
        <w:t xml:space="preserve">Safety settings per provider:</w:t>
      </w:r>
      <w:r>
        <w:rPr>
          <w:rFonts w:ascii="Calibri" w:cs="Calibri" w:eastAsia="Calibri" w:hAnsi="Calibri"/>
          <w:color w:val="1F2933"/>
          <w:sz w:val="21"/>
          <w:szCs w:val="21"/>
        </w:rPr>
        <w:t xml:space="preserve"> legal evidence (allegations, threats, violence, medical detail) must not be blocked; each adapter applies the least restrictive setting its provider permits.</w:t>
      </w:r>
    </w:p>
    <w:p>
      <w:pPr>
        <w:pStyle w:val="ListParagraph"/>
        <w:numPr>
          <w:ilvl w:val="0"/>
          <w:numId w:val="3"/>
        </w:numPr>
        <w:spacing w:after="60" w:line="276"/>
      </w:pPr>
      <w:r>
        <w:rPr>
          <w:rFonts w:ascii="Calibri" w:cs="Calibri" w:eastAsia="Calibri" w:hAnsi="Calibri"/>
          <w:b/>
          <w:bCs/>
          <w:color w:val="1F2933"/>
          <w:sz w:val="21"/>
          <w:szCs w:val="21"/>
        </w:rPr>
        <w:t xml:space="preserve">Credentials</w:t>
      </w:r>
      <w:r>
        <w:rPr>
          <w:rFonts w:ascii="Calibri" w:cs="Calibri" w:eastAsia="Calibri" w:hAnsi="Calibri"/>
          <w:color w:val="1F2933"/>
          <w:sz w:val="21"/>
          <w:szCs w:val="21"/>
        </w:rPr>
        <w:t xml:space="preserve"> for each provider come from the secret store, never from files in the code.</w:t>
      </w:r>
    </w:p>
    <w:p>
      <w:pPr>
        <w:pStyle w:val="Heading2"/>
      </w:pPr>
      <w:r>
        <w:rPr>
          <w:rFonts w:ascii="Calibri" w:cs="Calibri" w:eastAsia="Calibri" w:hAnsi="Calibri"/>
        </w:rPr>
        <w:t xml:space="preserve">4.3 Delivery plan — 4 weeks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66"/>
        <w:gridCol w:w="5333"/>
        <w:gridCol w:w="3201"/>
      </w:tblGrid>
      <w:tr>
        <w:trPr>
          <w:tblHeader/>
        </w:trPr>
        <w:tc>
          <w:tcPr>
            <w:tcW w:type="dxa" w:w="1066"/>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Week</w:t>
            </w:r>
          </w:p>
        </w:tc>
        <w:tc>
          <w:tcPr>
            <w:tcW w:type="dxa" w:w="5333"/>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Work</w:t>
            </w:r>
          </w:p>
        </w:tc>
        <w:tc>
          <w:tcPr>
            <w:tcW w:type="dxa" w:w="3201"/>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Deliverable</w:t>
            </w:r>
          </w:p>
        </w:tc>
      </w:tr>
      <w:tr>
        <w:trPr>
          <w:cantSplit/>
        </w:trPr>
        <w:tc>
          <w:tcPr>
            <w:tcW w:type="dxa" w:w="106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Week 1</w:t>
            </w:r>
          </w:p>
        </w:tc>
        <w:tc>
          <w:tcPr>
            <w:tcW w:type="dxa" w:w="533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Model interface and common request/response shape; Gemini adapter; move the first half of the call sites onto the interface; retire the older SDK</w:t>
            </w:r>
          </w:p>
        </w:tc>
        <w:tc>
          <w:tcPr>
            <w:tcW w:type="dxa" w:w="320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Service running on the new layer with Gemini, no behaviour change</w:t>
            </w:r>
          </w:p>
        </w:tc>
      </w:tr>
      <w:tr>
        <w:trPr>
          <w:cantSplit/>
        </w:trPr>
        <w:tc>
          <w:tcPr>
            <w:tcW w:type="dxa" w:w="106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Week 2</w:t>
            </w:r>
          </w:p>
        </w:tc>
        <w:tc>
          <w:tcPr>
            <w:tcW w:type="dxa" w:w="533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Move the remaining call sites (long-form, chat, grounded search, transcript clean-up); per-feature routing and fallback; per-model pricing</w:t>
            </w:r>
          </w:p>
        </w:tc>
        <w:tc>
          <w:tcPr>
            <w:tcW w:type="dxa" w:w="320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Every AI call goes through the layer; models selectable per feature</w:t>
            </w:r>
          </w:p>
        </w:tc>
      </w:tr>
      <w:tr>
        <w:trPr>
          <w:cantSplit/>
        </w:trPr>
        <w:tc>
          <w:tcPr>
            <w:tcW w:type="dxa" w:w="106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Week 3</w:t>
            </w:r>
          </w:p>
        </w:tc>
        <w:tc>
          <w:tcPr>
            <w:tcW w:type="dxa" w:w="533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Azure OpenAI and Amazon Bedrock adapters (JSON output, long answers, safety settings, usage reporting); embedding interface with per-model collections and fail-loud size checks</w:t>
            </w:r>
          </w:p>
        </w:tc>
        <w:tc>
          <w:tcPr>
            <w:tcW w:type="dxa" w:w="320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Any feature can run on Gemini, Azure OpenAI or Claude on Bedrock</w:t>
            </w:r>
          </w:p>
        </w:tc>
      </w:tr>
      <w:tr>
        <w:trPr>
          <w:cantSplit/>
        </w:trPr>
        <w:tc>
          <w:tcPr>
            <w:tcW w:type="dxa" w:w="106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Week 4</w:t>
            </w:r>
          </w:p>
        </w:tc>
        <w:tc>
          <w:tcPr>
            <w:tcW w:type="dxa" w:w="533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Automated check that every feature returns valid, schema-correct output on every configured model; bug fixing; configuration guide and runbook</w:t>
            </w:r>
          </w:p>
        </w:tc>
        <w:tc>
          <w:tcPr>
            <w:tcW w:type="dxa" w:w="320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Signed-off feature, test report per model, documentation</w:t>
            </w:r>
          </w:p>
        </w:tc>
      </w:tr>
    </w:tbl>
    <w:p>
      <w:pPr>
        <w:pStyle w:val="Heading2"/>
      </w:pPr>
      <w:r>
        <w:rPr>
          <w:rFonts w:ascii="Calibri" w:cs="Calibri" w:eastAsia="Calibri" w:hAnsi="Calibri"/>
        </w:rPr>
        <w:t xml:space="preserve">4.4 Effort breakdown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680"/>
        <w:gridCol w:w="1920"/>
      </w:tblGrid>
      <w:tr>
        <w:trPr>
          <w:tblHeader/>
        </w:trPr>
        <w:tc>
          <w:tcPr>
            <w:tcW w:type="dxa" w:w="768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Task</w:t>
            </w:r>
          </w:p>
        </w:tc>
        <w:tc>
          <w:tcPr>
            <w:tcW w:type="dxa" w:w="192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Days</w:t>
            </w:r>
          </w:p>
        </w:tc>
      </w:tr>
      <w:tr>
        <w:trPr>
          <w:cantSplit/>
        </w:trPr>
        <w:tc>
          <w:tcPr>
            <w:tcW w:type="dxa" w:w="768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Model interface, common request/response and error shape</w:t>
            </w:r>
          </w:p>
        </w:tc>
        <w:tc>
          <w:tcPr>
            <w:tcW w:type="dxa" w:w="192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w:t>
            </w:r>
          </w:p>
        </w:tc>
      </w:tr>
      <w:tr>
        <w:trPr>
          <w:cantSplit/>
        </w:trPr>
        <w:tc>
          <w:tcPr>
            <w:tcW w:type="dxa" w:w="768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Refactor all call sites onto the interface; retire the older SDK and direct calls</w:t>
            </w:r>
          </w:p>
        </w:tc>
        <w:tc>
          <w:tcPr>
            <w:tcW w:type="dxa" w:w="192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4–5</w:t>
            </w:r>
          </w:p>
        </w:tc>
      </w:tr>
      <w:tr>
        <w:trPr>
          <w:cantSplit/>
        </w:trPr>
        <w:tc>
          <w:tcPr>
            <w:tcW w:type="dxa" w:w="768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Gemini adapter (keeps production unchanged)</w:t>
            </w:r>
          </w:p>
        </w:tc>
        <w:tc>
          <w:tcPr>
            <w:tcW w:type="dxa" w:w="192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1–2</w:t>
            </w:r>
          </w:p>
        </w:tc>
      </w:tr>
      <w:tr>
        <w:trPr>
          <w:cantSplit/>
        </w:trPr>
        <w:tc>
          <w:tcPr>
            <w:tcW w:type="dxa" w:w="768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Azure OpenAI adapter</w:t>
            </w:r>
          </w:p>
        </w:tc>
        <w:tc>
          <w:tcPr>
            <w:tcW w:type="dxa" w:w="192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r>
      <w:tr>
        <w:trPr>
          <w:cantSplit/>
        </w:trPr>
        <w:tc>
          <w:tcPr>
            <w:tcW w:type="dxa" w:w="768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Amazon Bedrock adapter</w:t>
            </w:r>
          </w:p>
        </w:tc>
        <w:tc>
          <w:tcPr>
            <w:tcW w:type="dxa" w:w="192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r>
      <w:tr>
        <w:trPr>
          <w:cantSplit/>
        </w:trPr>
        <w:tc>
          <w:tcPr>
            <w:tcW w:type="dxa" w:w="768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Per-feature routing, fallback and configuration</w:t>
            </w:r>
          </w:p>
        </w:tc>
        <w:tc>
          <w:tcPr>
            <w:tcW w:type="dxa" w:w="192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w:t>
            </w:r>
          </w:p>
        </w:tc>
      </w:tr>
      <w:tr>
        <w:trPr>
          <w:cantSplit/>
        </w:trPr>
        <w:tc>
          <w:tcPr>
            <w:tcW w:type="dxa" w:w="768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Embedding interface, per-model collections, fail-loud size check</w:t>
            </w:r>
          </w:p>
        </w:tc>
        <w:tc>
          <w:tcPr>
            <w:tcW w:type="dxa" w:w="192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w:t>
            </w:r>
          </w:p>
        </w:tc>
      </w:tr>
      <w:tr>
        <w:trPr>
          <w:cantSplit/>
        </w:trPr>
        <w:tc>
          <w:tcPr>
            <w:tcW w:type="dxa" w:w="768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Per-model pricing and usage reporting</w:t>
            </w:r>
          </w:p>
        </w:tc>
        <w:tc>
          <w:tcPr>
            <w:tcW w:type="dxa" w:w="192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w:t>
            </w:r>
          </w:p>
        </w:tc>
      </w:tr>
      <w:tr>
        <w:trPr>
          <w:cantSplit/>
        </w:trPr>
        <w:tc>
          <w:tcPr>
            <w:tcW w:type="dxa" w:w="768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Automated output check per feature per model; fixes; documentation</w:t>
            </w:r>
          </w:p>
        </w:tc>
        <w:tc>
          <w:tcPr>
            <w:tcW w:type="dxa" w:w="192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w:t>
            </w:r>
          </w:p>
        </w:tc>
      </w:tr>
      <w:tr>
        <w:trPr>
          <w:cantSplit/>
        </w:trPr>
        <w:tc>
          <w:tcPr>
            <w:tcW w:type="dxa" w:w="7680"/>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Total</w:t>
            </w:r>
          </w:p>
        </w:tc>
        <w:tc>
          <w:tcPr>
            <w:tcW w:type="dxa" w:w="1920"/>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18–22 days</w:t>
            </w:r>
          </w:p>
        </w:tc>
      </w:tr>
    </w:tbl>
    <w:p>
      <w:pPr>
        <w:pStyle w:val="Heading2"/>
      </w:pPr>
      <w:r>
        <w:rPr>
          <w:rFonts w:ascii="Calibri" w:cs="Calibri" w:eastAsia="Calibri" w:hAnsi="Calibri"/>
        </w:rPr>
        <w:t xml:space="preserve">4.5 Acceptance criteria</w:t>
      </w:r>
    </w:p>
    <w:p>
      <w:pPr>
        <w:pStyle w:val="ListParagraph"/>
        <w:numPr>
          <w:ilvl w:val="0"/>
          <w:numId w:val="3"/>
        </w:numPr>
        <w:spacing w:after="60" w:line="276"/>
      </w:pPr>
      <w:r>
        <w:rPr>
          <w:rFonts w:ascii="Calibri" w:cs="Calibri" w:eastAsia="Calibri" w:hAnsi="Calibri"/>
          <w:color w:val="1F2933"/>
          <w:sz w:val="21"/>
          <w:szCs w:val="21"/>
        </w:rPr>
        <w:t xml:space="preserve">With the default configuration (Gemini), every panel and chat reply matches today's behaviour — verified with the existing offline verification scripts plus the new output check.</w:t>
      </w:r>
    </w:p>
    <w:p>
      <w:pPr>
        <w:pStyle w:val="ListParagraph"/>
        <w:numPr>
          <w:ilvl w:val="0"/>
          <w:numId w:val="3"/>
        </w:numPr>
        <w:spacing w:after="60" w:line="276"/>
      </w:pPr>
      <w:r>
        <w:rPr>
          <w:rFonts w:ascii="Calibri" w:cs="Calibri" w:eastAsia="Calibri" w:hAnsi="Calibri"/>
          <w:color w:val="1F2933"/>
          <w:sz w:val="21"/>
          <w:szCs w:val="21"/>
        </w:rPr>
        <w:t xml:space="preserve">Switching any single feature to Azure OpenAI or Claude on Bedrock requires only a configuration change, and that feature returns schema-valid output on a sample of real workspaces.</w:t>
      </w:r>
    </w:p>
    <w:p>
      <w:pPr>
        <w:pStyle w:val="ListParagraph"/>
        <w:numPr>
          <w:ilvl w:val="0"/>
          <w:numId w:val="3"/>
        </w:numPr>
        <w:spacing w:after="60" w:line="276"/>
      </w:pPr>
      <w:r>
        <w:rPr>
          <w:rFonts w:ascii="Calibri" w:cs="Calibri" w:eastAsia="Calibri" w:hAnsi="Calibri"/>
          <w:color w:val="1F2933"/>
          <w:sz w:val="21"/>
          <w:szCs w:val="21"/>
        </w:rPr>
        <w:t xml:space="preserve">Every response reports usage and price for the model that actually served it.</w:t>
      </w:r>
    </w:p>
    <w:p>
      <w:pPr>
        <w:pStyle w:val="ListParagraph"/>
        <w:numPr>
          <w:ilvl w:val="0"/>
          <w:numId w:val="3"/>
        </w:numPr>
        <w:spacing w:after="60" w:line="276"/>
      </w:pPr>
      <w:r>
        <w:rPr>
          <w:rFonts w:ascii="Calibri" w:cs="Calibri" w:eastAsia="Calibri" w:hAnsi="Calibri"/>
          <w:color w:val="1F2933"/>
          <w:sz w:val="21"/>
          <w:szCs w:val="21"/>
        </w:rPr>
        <w:t xml:space="preserve">A provider outage on one feature falls back to the configured fallback model without affecting other features.</w:t>
      </w:r>
    </w:p>
    <w:p>
      <w:pPr>
        <w:pStyle w:val="Heading2"/>
      </w:pPr>
      <w:r>
        <w:rPr>
          <w:rFonts w:ascii="Calibri" w:cs="Calibri" w:eastAsia="Calibri" w:hAnsi="Calibri"/>
        </w:rPr>
        <w:t xml:space="preserve">4.6 Things to decide before mixing providers</w:t>
      </w:r>
    </w:p>
    <w:p>
      <w:pPr>
        <w:pStyle w:val="ListParagraph"/>
        <w:numPr>
          <w:ilvl w:val="0"/>
          <w:numId w:val="3"/>
        </w:numPr>
        <w:spacing w:after="60" w:line="276"/>
      </w:pPr>
      <w:r>
        <w:rPr>
          <w:rFonts w:ascii="Calibri" w:cs="Calibri" w:eastAsia="Calibri" w:hAnsi="Calibri"/>
          <w:b/>
          <w:bCs/>
          <w:color w:val="1F2933"/>
          <w:sz w:val="21"/>
          <w:szCs w:val="21"/>
        </w:rPr>
        <w:t xml:space="preserve">Data residency and sub-processors.</w:t>
      </w:r>
      <w:r>
        <w:rPr>
          <w:rFonts w:ascii="Calibri" w:cs="Calibri" w:eastAsia="Calibri" w:hAnsi="Calibri"/>
          <w:color w:val="1F2933"/>
          <w:sz w:val="21"/>
          <w:szCs w:val="21"/>
        </w:rPr>
        <w:t xml:space="preserve"> Sending case evidence to more than one AI provider adds each of them to the sub-processor list under the DPDP Act. The client's legal team should approve the list.</w:t>
      </w:r>
    </w:p>
    <w:p>
      <w:pPr>
        <w:pStyle w:val="ListParagraph"/>
        <w:numPr>
          <w:ilvl w:val="0"/>
          <w:numId w:val="3"/>
        </w:numPr>
        <w:spacing w:after="60" w:line="276"/>
      </w:pPr>
      <w:r>
        <w:rPr>
          <w:rFonts w:ascii="Calibri" w:cs="Calibri" w:eastAsia="Calibri" w:hAnsi="Calibri"/>
          <w:b/>
          <w:bCs/>
          <w:color w:val="1F2933"/>
          <w:sz w:val="21"/>
          <w:szCs w:val="21"/>
        </w:rPr>
        <w:t xml:space="preserve">Accounts and quotas</w:t>
      </w:r>
      <w:r>
        <w:rPr>
          <w:rFonts w:ascii="Calibri" w:cs="Calibri" w:eastAsia="Calibri" w:hAnsi="Calibri"/>
          <w:color w:val="1F2933"/>
          <w:sz w:val="21"/>
          <w:szCs w:val="21"/>
        </w:rPr>
        <w:t xml:space="preserve"> with each provider in use, and their rate limits for the expected volume.</w:t>
      </w:r>
    </w:p>
    <w:p>
      <w:pPr>
        <w:pStyle w:val="ListParagraph"/>
        <w:numPr>
          <w:ilvl w:val="0"/>
          <w:numId w:val="3"/>
        </w:numPr>
        <w:spacing w:after="60" w:line="276"/>
      </w:pPr>
      <w:r>
        <w:rPr>
          <w:rFonts w:ascii="Calibri" w:cs="Calibri" w:eastAsia="Calibri" w:hAnsi="Calibri"/>
          <w:b/>
          <w:bCs/>
          <w:color w:val="1F2933"/>
          <w:sz w:val="21"/>
          <w:szCs w:val="21"/>
        </w:rPr>
        <w:t xml:space="preserve">Content-filter approvals.</w:t>
      </w:r>
      <w:r>
        <w:rPr>
          <w:rFonts w:ascii="Calibri" w:cs="Calibri" w:eastAsia="Calibri" w:hAnsi="Calibri"/>
          <w:color w:val="1F2933"/>
          <w:sz w:val="21"/>
          <w:szCs w:val="21"/>
        </w:rPr>
        <w:t xml:space="preserve"> Azure OpenAI requires an approved application for relaxed content filtering, which legal evidence needs; start it in week 1.</w:t>
      </w:r>
    </w:p>
    <w:p>
      <w:pPr>
        <w:pStyle w:val="ListParagraph"/>
        <w:numPr>
          <w:ilvl w:val="0"/>
          <w:numId w:val="3"/>
        </w:numPr>
        <w:spacing w:after="60" w:line="276"/>
      </w:pPr>
      <w:r>
        <w:rPr>
          <w:rFonts w:ascii="Calibri" w:cs="Calibri" w:eastAsia="Calibri" w:hAnsi="Calibri"/>
          <w:b/>
          <w:bCs/>
          <w:color w:val="1F2933"/>
          <w:sz w:val="21"/>
          <w:szCs w:val="21"/>
        </w:rPr>
        <w:t xml:space="preserve">Output quality per model</w:t>
      </w:r>
      <w:r>
        <w:rPr>
          <w:rFonts w:ascii="Calibri" w:cs="Calibri" w:eastAsia="Calibri" w:hAnsi="Calibri"/>
          <w:color w:val="1F2933"/>
          <w:sz w:val="21"/>
          <w:szCs w:val="21"/>
        </w:rPr>
        <w:t xml:space="preserve"> is proven in the migration's quality workstream, not in the 4 weeks.</w:t>
      </w:r>
    </w:p>
    <w:p>
      <w:pPr>
        <w:pStyle w:val="Heading1"/>
        <w:pageBreakBefore/>
      </w:pPr>
      <w:r>
        <w:rPr>
          <w:rFonts w:ascii="Calibri" w:cs="Calibri" w:eastAsia="Calibri" w:hAnsi="Calibri"/>
        </w:rPr>
        <w:t xml:space="preserve">5. Migration — service-by-service mapping</w:t>
      </w:r>
    </w:p>
    <w:p>
      <w:pPr>
        <w:spacing w:after="120" w:line="276"/>
      </w:pPr>
      <w:r>
        <w:rPr>
          <w:rFonts w:ascii="Calibri" w:cs="Calibri" w:eastAsia="Calibri" w:hAnsi="Calibri"/>
          <w:color w:val="1F2933"/>
          <w:sz w:val="21"/>
          <w:szCs w:val="21"/>
        </w:rPr>
        <w:t xml:space="preserve">Everything the service depends on, and what it becomes on each cloud.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53"/>
        <w:gridCol w:w="2560"/>
        <w:gridCol w:w="2560"/>
        <w:gridCol w:w="2027"/>
      </w:tblGrid>
      <w:tr>
        <w:trPr>
          <w:tblHeader/>
        </w:trPr>
        <w:tc>
          <w:tcPr>
            <w:tcW w:type="dxa" w:w="2453"/>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Capability</w:t>
            </w:r>
          </w:p>
        </w:tc>
        <w:tc>
          <w:tcPr>
            <w:tcW w:type="dxa" w:w="256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Azure</w:t>
            </w:r>
          </w:p>
        </w:tc>
        <w:tc>
          <w:tcPr>
            <w:tcW w:type="dxa" w:w="256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AWS</w:t>
            </w:r>
          </w:p>
        </w:tc>
        <w:tc>
          <w:tcPr>
            <w:tcW w:type="dxa" w:w="2027"/>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Notes</w:t>
            </w:r>
          </w:p>
        </w:tc>
      </w:tr>
      <w:tr>
        <w:trPr>
          <w:cantSplit/>
        </w:trPr>
        <w:tc>
          <w:tcPr>
            <w:tcW w:type="dxa" w:w="245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Always-on AI service container</w:t>
            </w:r>
          </w:p>
        </w:tc>
        <w:tc>
          <w:tcPr>
            <w:tcW w:type="dxa" w:w="256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Container Apps (min = max = 1 replica)</w:t>
            </w:r>
          </w:p>
        </w:tc>
        <w:tc>
          <w:tcPr>
            <w:tcW w:type="dxa" w:w="256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EC2 instance (Docker, Auto Scaling group min = max = 1 for auto-recovery)</w:t>
            </w:r>
          </w:p>
        </w:tc>
        <w:tc>
          <w:tcPr>
            <w:tcW w:type="dxa" w:w="202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Single instance (F-5)</w:t>
            </w:r>
          </w:p>
        </w:tc>
      </w:tr>
      <w:tr>
        <w:trPr>
          <w:cantSplit/>
        </w:trPr>
        <w:tc>
          <w:tcPr>
            <w:tcW w:type="dxa" w:w="245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Vector store and cache</w:t>
            </w:r>
          </w:p>
        </w:tc>
        <w:tc>
          <w:tcPr>
            <w:tcW w:type="dxa" w:w="256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Qdrant container or Qdrant Cloud · Azure Cache for Redis</w:t>
            </w:r>
          </w:p>
        </w:tc>
        <w:tc>
          <w:tcPr>
            <w:tcW w:type="dxa" w:w="256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Qdrant on EC2 (EBS volume) or Qdrant Cloud · ElastiCache</w:t>
            </w:r>
          </w:p>
        </w:tc>
        <w:tc>
          <w:tcPr>
            <w:tcW w:type="dxa" w:w="202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Direct</w:t>
            </w:r>
          </w:p>
        </w:tc>
      </w:tr>
      <w:tr>
        <w:trPr>
          <w:cantSplit/>
        </w:trPr>
        <w:tc>
          <w:tcPr>
            <w:tcW w:type="dxa" w:w="245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Draft documents, templates, audio staging</w:t>
            </w:r>
          </w:p>
        </w:tc>
        <w:tc>
          <w:tcPr>
            <w:tcW w:type="dxa" w:w="256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Blob Storage (long-lived SAS links)</w:t>
            </w:r>
          </w:p>
        </w:tc>
        <w:tc>
          <w:tcPr>
            <w:tcW w:type="dxa" w:w="256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S3 (presigned links capped at 7 days — R-01)</w:t>
            </w:r>
          </w:p>
        </w:tc>
        <w:tc>
          <w:tcPr>
            <w:tcW w:type="dxa" w:w="202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Azure simpler</w:t>
            </w:r>
          </w:p>
        </w:tc>
      </w:tr>
      <w:tr>
        <w:trPr>
          <w:cantSplit/>
        </w:trPr>
        <w:tc>
          <w:tcPr>
            <w:tcW w:type="dxa" w:w="245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OCR for scanned evidence</w:t>
            </w:r>
          </w:p>
        </w:tc>
        <w:tc>
          <w:tcPr>
            <w:tcW w:type="dxa" w:w="256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AI Document Intelligence</w:t>
            </w:r>
          </w:p>
        </w:tc>
        <w:tc>
          <w:tcPr>
            <w:tcW w:type="dxa" w:w="256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Textract</w:t>
            </w:r>
          </w:p>
        </w:tc>
        <w:tc>
          <w:tcPr>
            <w:tcW w:type="dxa" w:w="202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Benchmark on Indian court filings</w:t>
            </w:r>
          </w:p>
        </w:tc>
      </w:tr>
      <w:tr>
        <w:trPr>
          <w:cantSplit/>
        </w:trPr>
        <w:tc>
          <w:tcPr>
            <w:tcW w:type="dxa" w:w="245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Audio transcription + speaker separation</w:t>
            </w:r>
          </w:p>
        </w:tc>
        <w:tc>
          <w:tcPr>
            <w:tcW w:type="dxa" w:w="256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AI Speech (batch)</w:t>
            </w:r>
          </w:p>
        </w:tc>
        <w:tc>
          <w:tcPr>
            <w:tcW w:type="dxa" w:w="256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Transcribe</w:t>
            </w:r>
          </w:p>
        </w:tc>
        <w:tc>
          <w:tcPr>
            <w:tcW w:type="dxa" w:w="202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Benchmark Hindi–English audio</w:t>
            </w:r>
          </w:p>
        </w:tc>
      </w:tr>
      <w:tr>
        <w:trPr>
          <w:cantSplit/>
        </w:trPr>
        <w:tc>
          <w:tcPr>
            <w:tcW w:type="dxa" w:w="245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Indian Kanoon legal search fallback</w:t>
            </w:r>
          </w:p>
        </w:tc>
        <w:tc>
          <w:tcPr>
            <w:tcW w:type="dxa" w:w="256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AI Search + crawler, or Bing grounding with site filter</w:t>
            </w:r>
          </w:p>
        </w:tc>
        <w:tc>
          <w:tcPr>
            <w:tcW w:type="dxa" w:w="256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Kendra, or crawler + OpenSearch</w:t>
            </w:r>
          </w:p>
        </w:tc>
        <w:tc>
          <w:tcPr>
            <w:tcW w:type="dxa" w:w="202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Spike first (R-02)</w:t>
            </w:r>
          </w:p>
        </w:tc>
      </w:tr>
      <w:tr>
        <w:trPr>
          <w:cantSplit/>
        </w:trPr>
        <w:tc>
          <w:tcPr>
            <w:tcW w:type="dxa" w:w="245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Web grounding for case law</w:t>
            </w:r>
          </w:p>
        </w:tc>
        <w:tc>
          <w:tcPr>
            <w:tcW w:type="dxa" w:w="256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Grounding with Bing Search</w:t>
            </w:r>
          </w:p>
        </w:tc>
        <w:tc>
          <w:tcPr>
            <w:tcW w:type="dxa" w:w="256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Built from a search API + retrieval</w:t>
            </w:r>
          </w:p>
        </w:tc>
        <w:tc>
          <w:tcPr>
            <w:tcW w:type="dxa" w:w="202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Azure simpler</w:t>
            </w:r>
          </w:p>
        </w:tc>
      </w:tr>
      <w:tr>
        <w:trPr>
          <w:cantSplit/>
        </w:trPr>
        <w:tc>
          <w:tcPr>
            <w:tcW w:type="dxa" w:w="245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Secrets and workload identity</w:t>
            </w:r>
          </w:p>
        </w:tc>
        <w:tc>
          <w:tcPr>
            <w:tcW w:type="dxa" w:w="256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Key Vault + Managed Identity</w:t>
            </w:r>
          </w:p>
        </w:tc>
        <w:tc>
          <w:tcPr>
            <w:tcW w:type="dxa" w:w="256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Secrets Manager + IAM roles</w:t>
            </w:r>
          </w:p>
        </w:tc>
        <w:tc>
          <w:tcPr>
            <w:tcW w:type="dxa" w:w="202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Replaces key files (F-8)</w:t>
            </w:r>
          </w:p>
        </w:tc>
      </w:tr>
      <w:tr>
        <w:trPr>
          <w:cantSplit/>
        </w:trPr>
        <w:tc>
          <w:tcPr>
            <w:tcW w:type="dxa" w:w="245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Language model</w:t>
            </w:r>
          </w:p>
        </w:tc>
        <w:tc>
          <w:tcPr>
            <w:tcW w:type="dxa" w:w="256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Azure OpenAI (flagship / economy)</w:t>
            </w:r>
          </w:p>
        </w:tc>
        <w:tc>
          <w:tcPr>
            <w:tcW w:type="dxa" w:w="256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Amazon Bedrock — Claude (Opus / Sonnet tier)</w:t>
            </w:r>
          </w:p>
        </w:tc>
        <w:tc>
          <w:tcPr>
            <w:tcW w:type="dxa" w:w="202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Via the portability layer</w:t>
            </w:r>
          </w:p>
        </w:tc>
      </w:tr>
      <w:tr>
        <w:trPr>
          <w:cantSplit/>
        </w:trPr>
        <w:tc>
          <w:tcPr>
            <w:tcW w:type="dxa" w:w="245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Embedding model</w:t>
            </w:r>
          </w:p>
        </w:tc>
        <w:tc>
          <w:tcPr>
            <w:tcW w:type="dxa" w:w="256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text-embedding-3-small (1,536-dim)</w:t>
            </w:r>
          </w:p>
        </w:tc>
        <w:tc>
          <w:tcPr>
            <w:tcW w:type="dxa" w:w="256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Titan Text Embeddings v2 (1,024-dim)</w:t>
            </w:r>
          </w:p>
        </w:tc>
        <w:tc>
          <w:tcPr>
            <w:tcW w:type="dxa" w:w="202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Vector store re-built (R-06)</w:t>
            </w:r>
          </w:p>
        </w:tc>
      </w:tr>
      <w:tr>
        <w:trPr>
          <w:cantSplit/>
        </w:trPr>
        <w:tc>
          <w:tcPr>
            <w:tcW w:type="dxa" w:w="245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Logs, metrics, alarms</w:t>
            </w:r>
          </w:p>
        </w:tc>
        <w:tc>
          <w:tcPr>
            <w:tcW w:type="dxa" w:w="256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Log Analytics + Azure Monitor</w:t>
            </w:r>
          </w:p>
        </w:tc>
        <w:tc>
          <w:tcPr>
            <w:tcW w:type="dxa" w:w="256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CloudWatch</w:t>
            </w:r>
          </w:p>
        </w:tc>
        <w:tc>
          <w:tcPr>
            <w:tcW w:type="dxa" w:w="202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Audit trail preserved</w:t>
            </w:r>
          </w:p>
        </w:tc>
      </w:tr>
    </w:tbl>
    <w:p>
      <w:pPr>
        <w:pStyle w:val="Heading1"/>
        <w:pageBreakBefore/>
      </w:pPr>
      <w:r>
        <w:rPr>
          <w:rFonts w:ascii="Calibri" w:cs="Calibri" w:eastAsia="Calibri" w:hAnsi="Calibri"/>
        </w:rPr>
        <w:t xml:space="preserve">6. The model work inside the migration</w:t>
      </w:r>
    </w:p>
    <w:p>
      <w:pPr>
        <w:spacing w:after="120" w:line="276"/>
      </w:pPr>
      <w:r>
        <w:rPr>
          <w:rFonts w:ascii="Calibri" w:cs="Calibri" w:eastAsia="Calibri" w:hAnsi="Calibri"/>
          <w:color w:val="1F2933"/>
          <w:sz w:val="21"/>
          <w:szCs w:val="21"/>
        </w:rPr>
        <w:t xml:space="preserve">With the portability feature in place, the migration does not need to rewrite any model code. What remains is making the chosen cloud's models produce the right legal output — which is still the largest single item in the migration.</w:t>
      </w:r>
    </w:p>
    <w:p>
      <w:pPr>
        <w:pStyle w:val="Heading3"/>
      </w:pPr>
      <w:r>
        <w:rPr>
          <w:rFonts w:ascii="Calibri" w:cs="Calibri" w:eastAsia="Calibri" w:hAnsi="Calibri"/>
        </w:rPr>
        <w:t xml:space="preserve">Prompt tuning and structured-output reliability</w:t>
      </w:r>
    </w:p>
    <w:p>
      <w:pPr>
        <w:spacing w:after="120" w:line="276"/>
      </w:pPr>
      <w:r>
        <w:rPr>
          <w:rFonts w:ascii="Calibri" w:cs="Calibri" w:eastAsia="Calibri" w:hAnsi="Calibri"/>
          <w:color w:val="1F2933"/>
          <w:sz w:val="21"/>
          <w:szCs w:val="21"/>
        </w:rPr>
        <w:t xml:space="preserve">The prompt library (17 modules, ≈7,800 lines) carries the legal framing, the guardrails, the Indian-law rules that keep repealed IPC sections out of Applicable Laws, and the output shapes for ten panels. Each panel's prompt is tuned on the target model until its output is reliably correct and well-formed. Where a model needs different wording, a small per-provider overlay supplies it, so a legal-content fix is made once for every provider.</w:t>
      </w:r>
    </w:p>
    <w:p>
      <w:pPr>
        <w:pStyle w:val="Heading3"/>
      </w:pPr>
      <w:r>
        <w:rPr>
          <w:rFonts w:ascii="Calibri" w:cs="Calibri" w:eastAsia="Calibri" w:hAnsi="Calibri"/>
        </w:rPr>
        <w:t xml:space="preserve">Safety posture</w:t>
      </w:r>
    </w:p>
    <w:p>
      <w:pPr>
        <w:spacing w:after="120" w:line="276"/>
      </w:pPr>
      <w:r>
        <w:rPr>
          <w:rFonts w:ascii="Calibri" w:cs="Calibri" w:eastAsia="Calibri" w:hAnsi="Calibri"/>
          <w:color w:val="1F2933"/>
          <w:sz w:val="21"/>
          <w:szCs w:val="21"/>
        </w:rPr>
        <w:t xml:space="preserve">Case files routinely contain material that default content filters block. The least restrictive permitted setting is configured and proven on real evidence (R-09).</w:t>
      </w:r>
    </w:p>
    <w:p>
      <w:pPr>
        <w:pStyle w:val="Heading3"/>
      </w:pPr>
      <w:r>
        <w:rPr>
          <w:rFonts w:ascii="Calibri" w:cs="Calibri" w:eastAsia="Calibri" w:hAnsi="Calibri"/>
        </w:rPr>
        <w:t xml:space="preserve">Web grounding</w:t>
      </w:r>
    </w:p>
    <w:p>
      <w:pPr>
        <w:spacing w:after="120" w:line="276"/>
      </w:pPr>
      <w:r>
        <w:rPr>
          <w:rFonts w:ascii="Calibri" w:cs="Calibri" w:eastAsia="Calibri" w:hAnsi="Calibri"/>
          <w:color w:val="1F2933"/>
          <w:sz w:val="21"/>
          <w:szCs w:val="21"/>
        </w:rPr>
        <w:t xml:space="preserve">Case-law discovery uses web search grounding. On Azure this is Grounding with Bing Search; on AWS it is built from a search API plus retrieval.</w:t>
      </w:r>
    </w:p>
    <w:p>
      <w:pPr>
        <w:pStyle w:val="Heading3"/>
      </w:pPr>
      <w:r>
        <w:rPr>
          <w:rFonts w:ascii="Calibri" w:cs="Calibri" w:eastAsia="Calibri" w:hAnsi="Calibri"/>
        </w:rPr>
        <w:t xml:space="preserve">Embeddings and the vector store</w:t>
      </w:r>
    </w:p>
    <w:p>
      <w:pPr>
        <w:spacing w:after="120" w:line="276"/>
      </w:pPr>
      <w:r>
        <w:rPr>
          <w:rFonts w:ascii="Calibri" w:cs="Calibri" w:eastAsia="Calibri" w:hAnsi="Calibri"/>
          <w:color w:val="1F2933"/>
          <w:sz w:val="21"/>
          <w:szCs w:val="21"/>
        </w:rPr>
        <w:t xml:space="preserve">A new embedding model means a new vector space. The vector store is re-built from the document text it already holds — a few dollars of embedding cost, run in a maintenance window, with a retrieval-quality check before switch-over (R-06).</w:t>
      </w:r>
    </w:p>
    <w:p>
      <w:pPr>
        <w:pStyle w:val="Heading3"/>
      </w:pPr>
      <w:r>
        <w:rPr>
          <w:rFonts w:ascii="Calibri" w:cs="Calibri" w:eastAsia="Calibri" w:hAnsi="Calibri"/>
        </w:rPr>
        <w:t xml:space="preserve">Quality proof</w:t>
      </w:r>
    </w:p>
    <w:p>
      <w:pPr>
        <w:spacing w:after="120" w:line="276"/>
      </w:pPr>
      <w:r>
        <w:rPr>
          <w:rFonts w:ascii="Calibri" w:cs="Calibri" w:eastAsia="Calibri" w:hAnsi="Calibri"/>
          <w:color w:val="1F2933"/>
          <w:sz w:val="21"/>
          <w:szCs w:val="21"/>
        </w:rPr>
        <w:t xml:space="preserve">A golden set of real (anonymised) cases with outputs the client's lawyers consider correct, and an automated scorer per panel. The target model must meet agreed acceptance thresholds before cutover.</w:t>
      </w:r>
    </w:p>
    <w:p>
      <w:pPr>
        <w:pStyle w:val="Heading1"/>
        <w:pageBreakBefore/>
      </w:pPr>
      <w:r>
        <w:rPr>
          <w:rFonts w:ascii="Calibri" w:cs="Calibri" w:eastAsia="Calibri" w:hAnsi="Calibri"/>
        </w:rPr>
        <w:t xml:space="preserve">7. Migration effort</w:t>
      </w:r>
    </w:p>
    <w:p>
      <w:pPr>
        <w:spacing w:after="120" w:line="276"/>
      </w:pPr>
      <w:r>
        <w:rPr>
          <w:rFonts w:ascii="Calibri" w:cs="Calibri" w:eastAsia="Calibri" w:hAnsi="Calibri"/>
          <w:color w:val="1F2933"/>
          <w:sz w:val="21"/>
          <w:szCs w:val="21"/>
        </w:rPr>
        <w:t xml:space="preserve">Engineering person-days for our team, assuming the model portability feature (section 4) is already delivered. Excludes client-side approvals, procurement and cloud account provisioning.</w:t>
      </w:r>
    </w:p>
    <w:p>
      <w:pPr>
        <w:pStyle w:val="Heading2"/>
      </w:pPr>
      <w:r>
        <w:rPr>
          <w:rFonts w:ascii="Calibri" w:cs="Calibri" w:eastAsia="Calibri" w:hAnsi="Calibri"/>
        </w:rPr>
        <w:t xml:space="preserve">7.1 Workstreams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53"/>
        <w:gridCol w:w="6400"/>
        <w:gridCol w:w="1173"/>
        <w:gridCol w:w="1174"/>
      </w:tblGrid>
      <w:tr>
        <w:trPr>
          <w:tblHeader/>
        </w:trPr>
        <w:tc>
          <w:tcPr>
            <w:tcW w:type="dxa" w:w="853"/>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ID</w:t>
            </w:r>
          </w:p>
        </w:tc>
        <w:tc>
          <w:tcPr>
            <w:tcW w:type="dxa" w:w="640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Workstream</w:t>
            </w:r>
          </w:p>
        </w:tc>
        <w:tc>
          <w:tcPr>
            <w:tcW w:type="dxa" w:w="1173"/>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Azure</w:t>
            </w:r>
          </w:p>
        </w:tc>
        <w:tc>
          <w:tcPr>
            <w:tcW w:type="dxa" w:w="1174"/>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AWS</w:t>
            </w:r>
          </w:p>
        </w:tc>
      </w:tr>
      <w:tr>
        <w:trPr>
          <w:cantSplit/>
        </w:trPr>
        <w:tc>
          <w:tcPr>
            <w:tcW w:type="dxa" w:w="85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WS-01</w:t>
            </w:r>
          </w:p>
        </w:tc>
        <w:tc>
          <w:tcPr>
            <w:tcW w:type="dxa" w:w="64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Cloud foundation and network — account, Mumbai region, private network, NAT with static outbound IP, budget alarms</w:t>
            </w:r>
          </w:p>
        </w:tc>
        <w:tc>
          <w:tcPr>
            <w:tcW w:type="dxa" w:w="117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c>
          <w:tcPr>
            <w:tcW w:type="dxa" w:w="117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r>
      <w:tr>
        <w:trPr>
          <w:cantSplit/>
        </w:trPr>
        <w:tc>
          <w:tcPr>
            <w:tcW w:type="dxa" w:w="85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WS-02</w:t>
            </w:r>
          </w:p>
        </w:tc>
        <w:tc>
          <w:tcPr>
            <w:tcW w:type="dxa" w:w="64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Container build and always-on service — audio and PDF tools, registry, CI. Azure: Container Apps service definition. AWS: EC2 launch template and machine image, Docker with automatic restart, Auto Scaling group of one for instance recovery, OS patching via Systems Manager</w:t>
            </w:r>
          </w:p>
        </w:tc>
        <w:tc>
          <w:tcPr>
            <w:tcW w:type="dxa" w:w="117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c>
          <w:tcPr>
            <w:tcW w:type="dxa" w:w="117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3–4</w:t>
            </w:r>
          </w:p>
        </w:tc>
      </w:tr>
      <w:tr>
        <w:trPr>
          <w:cantSplit/>
        </w:trPr>
        <w:tc>
          <w:tcPr>
            <w:tcW w:type="dxa" w:w="85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WS-03</w:t>
            </w:r>
          </w:p>
        </w:tc>
        <w:tc>
          <w:tcPr>
            <w:tcW w:type="dxa" w:w="64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Qdrant and Redis — persistent storage or Qdrant Cloud; snapshot, restore, verify</w:t>
            </w:r>
          </w:p>
        </w:tc>
        <w:tc>
          <w:tcPr>
            <w:tcW w:type="dxa" w:w="117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c>
          <w:tcPr>
            <w:tcW w:type="dxa" w:w="117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r>
      <w:tr>
        <w:trPr>
          <w:cantSplit/>
        </w:trPr>
        <w:tc>
          <w:tcPr>
            <w:tcW w:type="dxa" w:w="85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WS-04</w:t>
            </w:r>
          </w:p>
        </w:tc>
        <w:tc>
          <w:tcPr>
            <w:tcW w:type="dxa" w:w="64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Object storage adapter and long-lived download links (AWS: redirect endpoint, R-01)</w:t>
            </w:r>
          </w:p>
        </w:tc>
        <w:tc>
          <w:tcPr>
            <w:tcW w:type="dxa" w:w="117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c>
          <w:tcPr>
            <w:tcW w:type="dxa" w:w="117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3–5</w:t>
            </w:r>
          </w:p>
        </w:tc>
      </w:tr>
      <w:tr>
        <w:trPr>
          <w:cantSplit/>
        </w:trPr>
        <w:tc>
          <w:tcPr>
            <w:tcW w:type="dxa" w:w="85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WS-05</w:t>
            </w:r>
          </w:p>
        </w:tc>
        <w:tc>
          <w:tcPr>
            <w:tcW w:type="dxa" w:w="64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OCR adapter and benchmark on Indian court filings</w:t>
            </w:r>
          </w:p>
        </w:tc>
        <w:tc>
          <w:tcPr>
            <w:tcW w:type="dxa" w:w="117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c>
          <w:tcPr>
            <w:tcW w:type="dxa" w:w="117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r>
      <w:tr>
        <w:trPr>
          <w:cantSplit/>
        </w:trPr>
        <w:tc>
          <w:tcPr>
            <w:tcW w:type="dxa" w:w="85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WS-06</w:t>
            </w:r>
          </w:p>
        </w:tc>
        <w:tc>
          <w:tcPr>
            <w:tcW w:type="dxa" w:w="64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Transcription adapter, transcript format, Hindi–English and speaker-separation testing</w:t>
            </w:r>
          </w:p>
        </w:tc>
        <w:tc>
          <w:tcPr>
            <w:tcW w:type="dxa" w:w="117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4–6</w:t>
            </w:r>
          </w:p>
        </w:tc>
        <w:tc>
          <w:tcPr>
            <w:tcW w:type="dxa" w:w="117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4–6</w:t>
            </w:r>
          </w:p>
        </w:tc>
      </w:tr>
      <w:tr>
        <w:trPr>
          <w:cantSplit/>
        </w:trPr>
        <w:tc>
          <w:tcPr>
            <w:tcW w:type="dxa" w:w="85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WS-07</w:t>
            </w:r>
          </w:p>
        </w:tc>
        <w:tc>
          <w:tcPr>
            <w:tcW w:type="dxa" w:w="64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Legal search fallback (spike first, R-02)</w:t>
            </w:r>
          </w:p>
        </w:tc>
        <w:tc>
          <w:tcPr>
            <w:tcW w:type="dxa" w:w="117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3–6</w:t>
            </w:r>
          </w:p>
        </w:tc>
        <w:tc>
          <w:tcPr>
            <w:tcW w:type="dxa" w:w="117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3–6</w:t>
            </w:r>
          </w:p>
        </w:tc>
      </w:tr>
      <w:tr>
        <w:trPr>
          <w:cantSplit/>
        </w:trPr>
        <w:tc>
          <w:tcPr>
            <w:tcW w:type="dxa" w:w="85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WS-08</w:t>
            </w:r>
          </w:p>
        </w:tc>
        <w:tc>
          <w:tcPr>
            <w:tcW w:type="dxa" w:w="64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Web grounding (Bing on Azure; built on AWS)</w:t>
            </w:r>
          </w:p>
        </w:tc>
        <w:tc>
          <w:tcPr>
            <w:tcW w:type="dxa" w:w="117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c>
          <w:tcPr>
            <w:tcW w:type="dxa" w:w="117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4–6</w:t>
            </w:r>
          </w:p>
        </w:tc>
      </w:tr>
      <w:tr>
        <w:trPr>
          <w:cantSplit/>
        </w:trPr>
        <w:tc>
          <w:tcPr>
            <w:tcW w:type="dxa" w:w="85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WS-09</w:t>
            </w:r>
          </w:p>
        </w:tc>
        <w:tc>
          <w:tcPr>
            <w:tcW w:type="dxa" w:w="64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Secrets, managed identity / IAM, rotate and revoke existing key files</w:t>
            </w:r>
          </w:p>
        </w:tc>
        <w:tc>
          <w:tcPr>
            <w:tcW w:type="dxa" w:w="117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w:t>
            </w:r>
          </w:p>
        </w:tc>
        <w:tc>
          <w:tcPr>
            <w:tcW w:type="dxa" w:w="117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w:t>
            </w:r>
          </w:p>
        </w:tc>
      </w:tr>
      <w:tr>
        <w:trPr>
          <w:cantSplit/>
        </w:trPr>
        <w:tc>
          <w:tcPr>
            <w:tcW w:type="dxa" w:w="85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WS-10</w:t>
            </w:r>
          </w:p>
        </w:tc>
        <w:tc>
          <w:tcPr>
            <w:tcW w:type="dxa" w:w="64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Observability — logs, metrics, alarms, audit trail</w:t>
            </w:r>
          </w:p>
        </w:tc>
        <w:tc>
          <w:tcPr>
            <w:tcW w:type="dxa" w:w="117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w:t>
            </w:r>
          </w:p>
        </w:tc>
        <w:tc>
          <w:tcPr>
            <w:tcW w:type="dxa" w:w="117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w:t>
            </w:r>
          </w:p>
        </w:tc>
      </w:tr>
      <w:tr>
        <w:trPr>
          <w:cantSplit/>
        </w:trPr>
        <w:tc>
          <w:tcPr>
            <w:tcW w:type="dxa" w:w="85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WS-11</w:t>
            </w:r>
          </w:p>
        </w:tc>
        <w:tc>
          <w:tcPr>
            <w:tcW w:type="dxa" w:w="64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Cost tracking for OCR, transcription, search and grounding billing units</w:t>
            </w:r>
          </w:p>
        </w:tc>
        <w:tc>
          <w:tcPr>
            <w:tcW w:type="dxa" w:w="117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1–2</w:t>
            </w:r>
          </w:p>
        </w:tc>
        <w:tc>
          <w:tcPr>
            <w:tcW w:type="dxa" w:w="117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1–2</w:t>
            </w:r>
          </w:p>
        </w:tc>
      </w:tr>
      <w:tr>
        <w:trPr>
          <w:cantSplit/>
        </w:trPr>
        <w:tc>
          <w:tcPr>
            <w:tcW w:type="dxa" w:w="85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WS-12</w:t>
            </w:r>
          </w:p>
        </w:tc>
        <w:tc>
          <w:tcPr>
            <w:tcW w:type="dxa" w:w="64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Data migration, stored storage-reference backfill, vector store re-embed</w:t>
            </w:r>
          </w:p>
        </w:tc>
        <w:tc>
          <w:tcPr>
            <w:tcW w:type="dxa" w:w="117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c>
          <w:tcPr>
            <w:tcW w:type="dxa" w:w="117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r>
      <w:tr>
        <w:trPr>
          <w:cantSplit/>
        </w:trPr>
        <w:tc>
          <w:tcPr>
            <w:tcW w:type="dxa" w:w="85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WS-13</w:t>
            </w:r>
          </w:p>
        </w:tc>
        <w:tc>
          <w:tcPr>
            <w:tcW w:type="dxa" w:w="64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Prompt tuning and structured-output reliability on the target model, all panels</w:t>
            </w:r>
          </w:p>
        </w:tc>
        <w:tc>
          <w:tcPr>
            <w:tcW w:type="dxa" w:w="117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15–22</w:t>
            </w:r>
          </w:p>
        </w:tc>
        <w:tc>
          <w:tcPr>
            <w:tcW w:type="dxa" w:w="117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15–22</w:t>
            </w:r>
          </w:p>
        </w:tc>
      </w:tr>
      <w:tr>
        <w:trPr>
          <w:cantSplit/>
        </w:trPr>
        <w:tc>
          <w:tcPr>
            <w:tcW w:type="dxa" w:w="85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WS-14</w:t>
            </w:r>
          </w:p>
        </w:tc>
        <w:tc>
          <w:tcPr>
            <w:tcW w:type="dxa" w:w="64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Safety / content-filter posture on real evidence</w:t>
            </w:r>
          </w:p>
        </w:tc>
        <w:tc>
          <w:tcPr>
            <w:tcW w:type="dxa" w:w="117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c>
          <w:tcPr>
            <w:tcW w:type="dxa" w:w="117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2–3</w:t>
            </w:r>
          </w:p>
        </w:tc>
      </w:tr>
      <w:tr>
        <w:trPr>
          <w:cantSplit/>
        </w:trPr>
        <w:tc>
          <w:tcPr>
            <w:tcW w:type="dxa" w:w="85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WS-15</w:t>
            </w:r>
          </w:p>
        </w:tc>
        <w:tc>
          <w:tcPr>
            <w:tcW w:type="dxa" w:w="64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Quality golden set, scorer and socket integration tests</w:t>
            </w:r>
          </w:p>
        </w:tc>
        <w:tc>
          <w:tcPr>
            <w:tcW w:type="dxa" w:w="117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5–8</w:t>
            </w:r>
          </w:p>
        </w:tc>
        <w:tc>
          <w:tcPr>
            <w:tcW w:type="dxa" w:w="117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5–8</w:t>
            </w:r>
          </w:p>
        </w:tc>
      </w:tr>
      <w:tr>
        <w:trPr>
          <w:cantSplit/>
        </w:trPr>
        <w:tc>
          <w:tcPr>
            <w:tcW w:type="dxa" w:w="85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WS-16</w:t>
            </w:r>
          </w:p>
        </w:tc>
        <w:tc>
          <w:tcPr>
            <w:tcW w:type="dxa" w:w="64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End-to-end regression on staging, parallel run, cutover, rollback, runbooks</w:t>
            </w:r>
          </w:p>
        </w:tc>
        <w:tc>
          <w:tcPr>
            <w:tcW w:type="dxa" w:w="117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6–9</w:t>
            </w:r>
          </w:p>
        </w:tc>
        <w:tc>
          <w:tcPr>
            <w:tcW w:type="dxa" w:w="117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6–9</w:t>
            </w:r>
          </w:p>
        </w:tc>
      </w:tr>
      <w:tr>
        <w:trPr>
          <w:cantSplit/>
        </w:trPr>
        <w:tc>
          <w:tcPr>
            <w:tcW w:type="dxa" w:w="853"/>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p>
        </w:tc>
        <w:tc>
          <w:tcPr>
            <w:tcW w:type="dxa" w:w="6400"/>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Total migration</w:t>
            </w:r>
          </w:p>
        </w:tc>
        <w:tc>
          <w:tcPr>
            <w:tcW w:type="dxa" w:w="1173"/>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54–81</w:t>
            </w:r>
          </w:p>
        </w:tc>
        <w:tc>
          <w:tcPr>
            <w:tcW w:type="dxa" w:w="1174"/>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58–87</w:t>
            </w:r>
          </w:p>
        </w:tc>
      </w:tr>
    </w:tbl>
    <w:p>
      <w:pPr>
        <w:pStyle w:val="Heading2"/>
      </w:pPr>
      <w:r>
        <w:rPr>
          <w:rFonts w:ascii="Calibri" w:cs="Calibri" w:eastAsia="Calibri" w:hAnsi="Calibri"/>
        </w:rPr>
        <w:t xml:space="preserve">7.2 Programme totals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114"/>
        <w:gridCol w:w="1828"/>
        <w:gridCol w:w="1828"/>
        <w:gridCol w:w="1830"/>
      </w:tblGrid>
      <w:tr>
        <w:trPr>
          <w:tblHeader/>
        </w:trPr>
        <w:tc>
          <w:tcPr>
            <w:tcW w:type="dxa" w:w="4114"/>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Programme</w:t>
            </w:r>
          </w:p>
        </w:tc>
        <w:tc>
          <w:tcPr>
            <w:tcW w:type="dxa" w:w="1828"/>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Effort</w:t>
            </w:r>
          </w:p>
        </w:tc>
        <w:tc>
          <w:tcPr>
            <w:tcW w:type="dxa" w:w="1828"/>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One engineer</w:t>
            </w:r>
          </w:p>
        </w:tc>
        <w:tc>
          <w:tcPr>
            <w:tcW w:type="dxa" w:w="183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Two engineers</w:t>
            </w:r>
          </w:p>
        </w:tc>
      </w:tr>
      <w:tr>
        <w:trPr>
          <w:cantSplit/>
        </w:trPr>
        <w:tc>
          <w:tcPr>
            <w:tcW w:type="dxa" w:w="411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Model portability only</w:t>
            </w:r>
          </w:p>
        </w:tc>
        <w:tc>
          <w:tcPr>
            <w:tcW w:type="dxa" w:w="1828"/>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18–22 days</w:t>
            </w:r>
          </w:p>
        </w:tc>
        <w:tc>
          <w:tcPr>
            <w:tcW w:type="dxa" w:w="1828"/>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4 weeks</w:t>
            </w:r>
          </w:p>
        </w:tc>
        <w:tc>
          <w:tcPr>
            <w:tcW w:type="dxa" w:w="183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3 weeks</w:t>
            </w:r>
          </w:p>
        </w:tc>
      </w:tr>
      <w:tr>
        <w:trPr>
          <w:cantSplit/>
        </w:trPr>
        <w:tc>
          <w:tcPr>
            <w:tcW w:type="dxa" w:w="411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Portability + Azure</w:t>
            </w:r>
          </w:p>
        </w:tc>
        <w:tc>
          <w:tcPr>
            <w:tcW w:type="dxa" w:w="1828"/>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72–103 days</w:t>
            </w:r>
          </w:p>
        </w:tc>
        <w:tc>
          <w:tcPr>
            <w:tcW w:type="dxa" w:w="1828"/>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15–21 weeks</w:t>
            </w:r>
          </w:p>
        </w:tc>
        <w:tc>
          <w:tcPr>
            <w:tcW w:type="dxa" w:w="183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9–13 weeks</w:t>
            </w:r>
          </w:p>
        </w:tc>
      </w:tr>
      <w:tr>
        <w:trPr>
          <w:cantSplit/>
        </w:trPr>
        <w:tc>
          <w:tcPr>
            <w:tcW w:type="dxa" w:w="411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Portability + AWS</w:t>
            </w:r>
          </w:p>
        </w:tc>
        <w:tc>
          <w:tcPr>
            <w:tcW w:type="dxa" w:w="1828"/>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76–109 days</w:t>
            </w:r>
          </w:p>
        </w:tc>
        <w:tc>
          <w:tcPr>
            <w:tcW w:type="dxa" w:w="1828"/>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15–22 weeks</w:t>
            </w:r>
          </w:p>
        </w:tc>
        <w:tc>
          <w:tcPr>
            <w:tcW w:type="dxa" w:w="183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10–14 weeks</w:t>
            </w:r>
          </w:p>
        </w:tc>
      </w:tr>
      <w:tr>
        <w:trPr>
          <w:cantSplit/>
        </w:trPr>
        <w:tc>
          <w:tcPr>
            <w:tcW w:type="dxa" w:w="411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Portability + Azure + AWS (second cloud as standby or for specific clients)</w:t>
            </w:r>
          </w:p>
        </w:tc>
        <w:tc>
          <w:tcPr>
            <w:tcW w:type="dxa" w:w="1828"/>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117–173 days</w:t>
            </w:r>
          </w:p>
        </w:tc>
        <w:tc>
          <w:tcPr>
            <w:tcW w:type="dxa" w:w="1828"/>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24–35 weeks</w:t>
            </w:r>
          </w:p>
        </w:tc>
        <w:tc>
          <w:tcPr>
            <w:tcW w:type="dxa" w:w="183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14–21 weeks</w:t>
            </w:r>
          </w:p>
        </w:tc>
      </w:tr>
    </w:tbl>
    <w:p>
      <w:pPr>
        <w:spacing w:after="200" w:before="60"/>
      </w:pPr>
      <w:r>
        <w:rPr>
          <w:rFonts w:ascii="Calibri" w:cs="Calibri" w:eastAsia="Calibri" w:hAnsi="Calibri"/>
          <w:i/>
          <w:iCs/>
          <w:color w:val="5B6770"/>
          <w:sz w:val="18"/>
          <w:szCs w:val="18"/>
        </w:rPr>
        <w:t xml:space="preserve">Assumes feature work on the prompt, storage, OCR, audio and search modules is frozen during the migration window.</w:t>
      </w:r>
    </w:p>
    <w:p>
      <w:pPr>
        <w:pStyle w:val="Heading2"/>
      </w:pPr>
      <w:r>
        <w:rPr>
          <w:rFonts w:ascii="Calibri" w:cs="Calibri" w:eastAsia="Calibri" w:hAnsi="Calibri"/>
        </w:rPr>
        <w:t xml:space="preserve">7.3 One-time engineering cost</w:t>
      </w:r>
    </w:p>
    <w:p>
      <w:pPr>
        <w:spacing w:after="120" w:line="276"/>
      </w:pPr>
      <w:r>
        <w:rPr>
          <w:rFonts w:ascii="Calibri" w:cs="Calibri" w:eastAsia="Calibri" w:hAnsi="Calibri"/>
          <w:color w:val="1F2933"/>
          <w:sz w:val="21"/>
          <w:szCs w:val="21"/>
        </w:rPr>
        <w:t xml:space="preserve">The one-time cost is the effort above multiplied by the agreed blended day rate. For example, at a day rate of </w:t>
      </w:r>
      <w:r>
        <w:rPr>
          <w:rFonts w:ascii="Calibri" w:cs="Calibri" w:eastAsia="Calibri" w:hAnsi="Calibri"/>
          <w:b/>
          <w:bCs/>
          <w:color w:val="1F2933"/>
          <w:sz w:val="21"/>
          <w:szCs w:val="21"/>
        </w:rPr>
        <w:t xml:space="preserve">R</w:t>
      </w:r>
      <w:r>
        <w:rPr>
          <w:rFonts w:ascii="Calibri" w:cs="Calibri" w:eastAsia="Calibri" w:hAnsi="Calibri"/>
          <w:color w:val="1F2933"/>
          <w:sz w:val="21"/>
          <w:szCs w:val="21"/>
        </w:rPr>
        <w:t xml:space="preserve">: portability costs 18–22 × R; portability plus Azure costs 72–103 × R.</w:t>
      </w:r>
    </w:p>
    <w:p>
      <w:pPr>
        <w:pStyle w:val="Heading1"/>
        <w:pageBreakBefore/>
      </w:pPr>
      <w:r>
        <w:rPr>
          <w:rFonts w:ascii="Calibri" w:cs="Calibri" w:eastAsia="Calibri" w:hAnsi="Calibri"/>
        </w:rPr>
        <w:t xml:space="preserve">8. Running cost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single" w:color="8A5A00" w:sz="24"/>
              <w:bottom w:val="none" w:color="FFFFFF" w:sz="0"/>
              <w:right w:val="none" w:color="FFFFFF" w:sz="0"/>
            </w:tcBorders>
            <w:shd w:fill="FFF4DC" w:color="auto" w:val="clear"/>
            <w:tcMar>
              <w:top w:type="dxa" w:w="140"/>
              <w:left w:type="dxa" w:w="220"/>
              <w:bottom w:type="dxa" w:w="140"/>
              <w:right w:type="dxa" w:w="220"/>
            </w:tcMar>
          </w:tcPr>
          <w:p>
            <w:pPr>
              <w:spacing w:after="80"/>
            </w:pPr>
            <w:r>
              <w:rPr>
                <w:rFonts w:ascii="Calibri" w:cs="Calibri" w:eastAsia="Calibri" w:hAnsi="Calibri"/>
                <w:b/>
                <w:bCs/>
                <w:color w:val="8A5A00"/>
                <w:sz w:val="21"/>
                <w:szCs w:val="21"/>
              </w:rPr>
              <w:t xml:space="preserve">Read this before quoting any figure</w:t>
            </w:r>
          </w:p>
          <w:p>
            <w:pPr>
              <w:spacing w:after="60" w:line="276"/>
            </w:pPr>
            <w:r>
              <w:rPr>
                <w:rFonts w:ascii="Calibri" w:cs="Calibri" w:eastAsia="Calibri" w:hAnsi="Calibri"/>
                <w:color w:val="1F2933"/>
                <w:sz w:val="21"/>
                <w:szCs w:val="21"/>
              </w:rPr>
              <w:t xml:space="preserve">Indicative list prices in USD for the Mumbai region, excluding free tiers, commitments, enterprise agreements and taxes. Model names and per-token rates are placeholders and must be verified with each provider, together with regional availability. Confirm every line in the provider's calculator before it goes into a contract.</w:t>
            </w:r>
          </w:p>
        </w:tc>
      </w:tr>
    </w:tbl>
    <w:p>
      <w:pPr>
        <w:spacing w:after="120"/>
      </w:pPr>
    </w:p>
    <w:p>
      <w:pPr>
        <w:pStyle w:val="Heading2"/>
      </w:pPr>
      <w:r>
        <w:rPr>
          <w:rFonts w:ascii="Calibri" w:cs="Calibri" w:eastAsia="Calibri" w:hAnsi="Calibri"/>
        </w:rPr>
        <w:t xml:space="preserve">8.1 Fixed monthly infrastructure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42"/>
        <w:gridCol w:w="3031"/>
        <w:gridCol w:w="2527"/>
      </w:tblGrid>
      <w:tr>
        <w:trPr>
          <w:tblHeader/>
        </w:trPr>
        <w:tc>
          <w:tcPr>
            <w:tcW w:type="dxa" w:w="4042"/>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Line item</w:t>
            </w:r>
          </w:p>
        </w:tc>
        <w:tc>
          <w:tcPr>
            <w:tcW w:type="dxa" w:w="3031"/>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Azure</w:t>
            </w:r>
          </w:p>
        </w:tc>
        <w:tc>
          <w:tcPr>
            <w:tcW w:type="dxa" w:w="2527"/>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AWS</w:t>
            </w:r>
          </w:p>
        </w:tc>
      </w:tr>
      <w:tr>
        <w:trPr>
          <w:cantSplit/>
        </w:trPr>
        <w:tc>
          <w:tcPr>
            <w:tcW w:type="dxa" w:w="4042"/>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Application container, 2 vCPU / 8 GB, always on</w:t>
            </w:r>
          </w:p>
        </w:tc>
        <w:tc>
          <w:tcPr>
            <w:tcW w:type="dxa" w:w="303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$75–90 (VM/AKS) · $180 (Container Apps)</w:t>
            </w:r>
          </w:p>
        </w:tc>
        <w:tc>
          <w:tcPr>
            <w:tcW w:type="dxa" w:w="252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$75–85 (EC2, 2 vCPU / 8 GB on-demand + 30 GB EBS)</w:t>
            </w:r>
          </w:p>
        </w:tc>
      </w:tr>
      <w:tr>
        <w:trPr>
          <w:cantSplit/>
        </w:trPr>
        <w:tc>
          <w:tcPr>
            <w:tcW w:type="dxa" w:w="4042"/>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Qdrant, 2 vCPU / 8 GB + 100 GB disk</w:t>
            </w:r>
          </w:p>
        </w:tc>
        <w:tc>
          <w:tcPr>
            <w:tcW w:type="dxa" w:w="303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$85–105</w:t>
            </w:r>
          </w:p>
        </w:tc>
        <w:tc>
          <w:tcPr>
            <w:tcW w:type="dxa" w:w="252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$85–100 (EC2 + EBS)</w:t>
            </w:r>
          </w:p>
        </w:tc>
      </w:tr>
      <w:tr>
        <w:trPr>
          <w:cantSplit/>
        </w:trPr>
        <w:tc>
          <w:tcPr>
            <w:tcW w:type="dxa" w:w="4042"/>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Redis cache, small</w:t>
            </w:r>
          </w:p>
        </w:tc>
        <w:tc>
          <w:tcPr>
            <w:tcW w:type="dxa" w:w="303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$16–40</w:t>
            </w:r>
          </w:p>
        </w:tc>
        <w:tc>
          <w:tcPr>
            <w:tcW w:type="dxa" w:w="252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$25–30</w:t>
            </w:r>
          </w:p>
        </w:tc>
      </w:tr>
      <w:tr>
        <w:trPr>
          <w:cantSplit/>
        </w:trPr>
        <w:tc>
          <w:tcPr>
            <w:tcW w:type="dxa" w:w="4042"/>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Object storage, 500 GB</w:t>
            </w:r>
          </w:p>
        </w:tc>
        <w:tc>
          <w:tcPr>
            <w:tcW w:type="dxa" w:w="303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$10–13</w:t>
            </w:r>
          </w:p>
        </w:tc>
        <w:tc>
          <w:tcPr>
            <w:tcW w:type="dxa" w:w="252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$12–14</w:t>
            </w:r>
          </w:p>
        </w:tc>
      </w:tr>
      <w:tr>
        <w:trPr>
          <w:cantSplit/>
        </w:trPr>
        <w:tc>
          <w:tcPr>
            <w:tcW w:type="dxa" w:w="4042"/>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NAT gateway / static egress IP</w:t>
            </w:r>
          </w:p>
        </w:tc>
        <w:tc>
          <w:tcPr>
            <w:tcW w:type="dxa" w:w="303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$32</w:t>
            </w:r>
          </w:p>
        </w:tc>
        <w:tc>
          <w:tcPr>
            <w:tcW w:type="dxa" w:w="252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$32</w:t>
            </w:r>
          </w:p>
        </w:tc>
      </w:tr>
      <w:tr>
        <w:trPr>
          <w:cantSplit/>
        </w:trPr>
        <w:tc>
          <w:tcPr>
            <w:tcW w:type="dxa" w:w="4042"/>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Egress, 200 GB / month</w:t>
            </w:r>
          </w:p>
        </w:tc>
        <w:tc>
          <w:tcPr>
            <w:tcW w:type="dxa" w:w="303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$15–18</w:t>
            </w:r>
          </w:p>
        </w:tc>
        <w:tc>
          <w:tcPr>
            <w:tcW w:type="dxa" w:w="252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$18–22</w:t>
            </w:r>
          </w:p>
        </w:tc>
      </w:tr>
      <w:tr>
        <w:trPr>
          <w:cantSplit/>
        </w:trPr>
        <w:tc>
          <w:tcPr>
            <w:tcW w:type="dxa" w:w="4042"/>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Logs and monitoring, 20 GB / month</w:t>
            </w:r>
          </w:p>
        </w:tc>
        <w:tc>
          <w:tcPr>
            <w:tcW w:type="dxa" w:w="303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$40–50</w:t>
            </w:r>
          </w:p>
        </w:tc>
        <w:tc>
          <w:tcPr>
            <w:tcW w:type="dxa" w:w="252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$10–14</w:t>
            </w:r>
          </w:p>
        </w:tc>
      </w:tr>
      <w:tr>
        <w:trPr>
          <w:cantSplit/>
        </w:trPr>
        <w:tc>
          <w:tcPr>
            <w:tcW w:type="dxa" w:w="4042"/>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Container registry</w:t>
            </w:r>
          </w:p>
        </w:tc>
        <w:tc>
          <w:tcPr>
            <w:tcW w:type="dxa" w:w="303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$5</w:t>
            </w:r>
          </w:p>
        </w:tc>
        <w:tc>
          <w:tcPr>
            <w:tcW w:type="dxa" w:w="252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color w:val="1F2933"/>
                <w:sz w:val="19"/>
                <w:szCs w:val="19"/>
              </w:rPr>
              <w:t xml:space="preserve">$5</w:t>
            </w:r>
          </w:p>
        </w:tc>
      </w:tr>
      <w:tr>
        <w:trPr>
          <w:cantSplit/>
        </w:trPr>
        <w:tc>
          <w:tcPr>
            <w:tcW w:type="dxa" w:w="4042"/>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Fixed subtotal</w:t>
            </w:r>
          </w:p>
        </w:tc>
        <w:tc>
          <w:tcPr>
            <w:tcW w:type="dxa" w:w="3031"/>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$278–353</w:t>
            </w:r>
          </w:p>
        </w:tc>
        <w:tc>
          <w:tcPr>
            <w:tcW w:type="dxa" w:w="2527"/>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$262–302</w:t>
            </w:r>
          </w:p>
        </w:tc>
      </w:tr>
    </w:tbl>
    <w:p>
      <w:pPr>
        <w:spacing w:after="200" w:before="60"/>
      </w:pPr>
      <w:r>
        <w:rPr>
          <w:rFonts w:ascii="Calibri" w:cs="Calibri" w:eastAsia="Calibri" w:hAnsi="Calibri"/>
          <w:i/>
          <w:iCs/>
          <w:color w:val="5B6770"/>
          <w:sz w:val="18"/>
          <w:szCs w:val="18"/>
        </w:rPr>
        <w:t xml:space="preserve">One-year commitments (Reserved Instances / Savings Plans) typically cut compute lines by 30–40%; not modelled. On AWS, the service and Qdrant can also share one larger EC2 instance (4 vCPU / 16 GB) to save roughly $15–25 a month, at the cost of a shared failure domain.</w:t>
      </w:r>
    </w:p>
    <w:p>
      <w:pPr>
        <w:pStyle w:val="Heading2"/>
      </w:pPr>
      <w:r>
        <w:rPr>
          <w:rFonts w:ascii="Calibri" w:cs="Calibri" w:eastAsia="Calibri" w:hAnsi="Calibri"/>
        </w:rPr>
        <w:t xml:space="preserve">8.2 Per-unit service rates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Service</w:t>
            </w:r>
          </w:p>
        </w:tc>
        <w:tc>
          <w:tcPr>
            <w:tcW w:type="dxa" w:w="320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Azure</w:t>
            </w:r>
          </w:p>
        </w:tc>
        <w:tc>
          <w:tcPr>
            <w:tcW w:type="dxa" w:w="320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AWS</w:t>
            </w:r>
          </w:p>
        </w:tc>
      </w:tr>
      <w:tr>
        <w:trPr>
          <w:cantSplit/>
        </w:trPr>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Document OCR, per 1,000 pages</w:t>
            </w:r>
          </w:p>
        </w:tc>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$1.50 (Document Intelligence)</w:t>
            </w:r>
          </w:p>
        </w:tc>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$1.50 (Textract)</w:t>
            </w:r>
          </w:p>
        </w:tc>
      </w:tr>
      <w:tr>
        <w:trPr>
          <w:cantSplit/>
        </w:trPr>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Speech-to-text, per audio hour</w:t>
            </w:r>
          </w:p>
        </w:tc>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$1.00 (AI Speech)</w:t>
            </w:r>
          </w:p>
        </w:tc>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$1.44 (Transcribe)</w:t>
            </w:r>
          </w:p>
        </w:tc>
      </w:tr>
      <w:tr>
        <w:trPr>
          <w:cantSplit/>
        </w:trPr>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Legal search fallback</w:t>
            </w:r>
          </w:p>
        </w:tc>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 $75 / month fixed (AI Search Basic + crawler)</w:t>
            </w:r>
          </w:p>
        </w:tc>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 $810 / month (Kendra) or ≈ $125 (self-built OpenSearch)</w:t>
            </w:r>
          </w:p>
        </w:tc>
      </w:tr>
      <w:tr>
        <w:trPr>
          <w:cantSplit/>
        </w:trPr>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Embeddings, per 1M tokens</w:t>
            </w:r>
          </w:p>
        </w:tc>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$0.02</w:t>
            </w:r>
          </w:p>
        </w:tc>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$0.02</w:t>
            </w:r>
          </w:p>
        </w:tc>
      </w:tr>
      <w:tr>
        <w:trPr>
          <w:cantSplit/>
        </w:trPr>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Web grounding</w:t>
            </w:r>
          </w:p>
        </w:tc>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Bing grounding, per transaction</w:t>
            </w:r>
          </w:p>
        </w:tc>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Search API, per query (built)</w:t>
            </w:r>
          </w:p>
        </w:tc>
      </w:tr>
      <w:tr>
        <w:trPr>
          <w:cantSplit/>
        </w:trPr>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Flagship model, per 1M tokens in / out †</w:t>
            </w:r>
          </w:p>
        </w:tc>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$4.00 / $20.00</w:t>
            </w:r>
          </w:p>
        </w:tc>
        <w:tc>
          <w:tcPr>
            <w:tcW w:type="dxa" w:w="320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$5.00 / $25.00</w:t>
            </w:r>
          </w:p>
        </w:tc>
      </w:tr>
      <w:tr>
        <w:trPr>
          <w:cantSplit/>
        </w:trPr>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Economy model, per 1M tokens in / out †</w:t>
            </w:r>
          </w:p>
        </w:tc>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$2.00 / $12.00</w:t>
            </w:r>
          </w:p>
        </w:tc>
        <w:tc>
          <w:tcPr>
            <w:tcW w:type="dxa" w:w="320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$2.00 / $10.00</w:t>
            </w:r>
          </w:p>
        </w:tc>
      </w:tr>
    </w:tbl>
    <w:p>
      <w:pPr>
        <w:spacing w:after="200" w:before="60"/>
      </w:pPr>
      <w:r>
        <w:rPr>
          <w:rFonts w:ascii="Calibri" w:cs="Calibri" w:eastAsia="Calibri" w:hAnsi="Calibri"/>
          <w:i/>
          <w:iCs/>
          <w:color w:val="5B6770"/>
          <w:sz w:val="18"/>
          <w:szCs w:val="18"/>
        </w:rPr>
        <w:t xml:space="preserve">† Placeholder rates; verify model names and prices with the provider.</w:t>
      </w:r>
    </w:p>
    <w:p>
      <w:pPr>
        <w:pStyle w:val="Heading2"/>
      </w:pPr>
      <w:r>
        <w:rPr>
          <w:rFonts w:ascii="Calibri" w:cs="Calibri" w:eastAsia="Calibri" w:hAnsi="Calibri"/>
        </w:rPr>
        <w:t xml:space="preserve">8.3 Worked monthly total</w:t>
      </w:r>
    </w:p>
    <w:p>
      <w:pPr>
        <w:spacing w:after="120" w:line="276"/>
      </w:pPr>
      <w:r>
        <w:rPr>
          <w:rFonts w:ascii="Calibri" w:cs="Calibri" w:eastAsia="Calibri" w:hAnsi="Calibri"/>
          <w:color w:val="1F2933"/>
          <w:sz w:val="21"/>
          <w:szCs w:val="21"/>
        </w:rPr>
        <w:t xml:space="preserve">Modelled at 15,000 OCR pages, 50 audio hours, 3,000 search queries, 50M embedding tokens and 300M input / 40M output language-model tokens a month — roughly 500 active workspaces.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927"/>
        <w:gridCol w:w="1854"/>
        <w:gridCol w:w="1854"/>
        <w:gridCol w:w="1965"/>
      </w:tblGrid>
      <w:tr>
        <w:trPr>
          <w:tblHeader/>
        </w:trPr>
        <w:tc>
          <w:tcPr>
            <w:tcW w:type="dxa" w:w="3927"/>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Cost line</w:t>
            </w:r>
          </w:p>
        </w:tc>
        <w:tc>
          <w:tcPr>
            <w:tcW w:type="dxa" w:w="1854"/>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Azure</w:t>
            </w:r>
          </w:p>
        </w:tc>
        <w:tc>
          <w:tcPr>
            <w:tcW w:type="dxa" w:w="1854"/>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AWS (Kendra)</w:t>
            </w:r>
          </w:p>
        </w:tc>
        <w:tc>
          <w:tcPr>
            <w:tcW w:type="dxa" w:w="1965"/>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AWS (OpenSearch)</w:t>
            </w:r>
          </w:p>
        </w:tc>
      </w:tr>
      <w:tr>
        <w:trPr>
          <w:cantSplit/>
        </w:trPr>
        <w:tc>
          <w:tcPr>
            <w:tcW w:type="dxa" w:w="392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Fixed infrastructure</w:t>
            </w:r>
          </w:p>
        </w:tc>
        <w:tc>
          <w:tcPr>
            <w:tcW w:type="dxa" w:w="185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$310</w:t>
            </w:r>
          </w:p>
        </w:tc>
        <w:tc>
          <w:tcPr>
            <w:tcW w:type="dxa" w:w="185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$285</w:t>
            </w:r>
          </w:p>
        </w:tc>
        <w:tc>
          <w:tcPr>
            <w:tcW w:type="dxa" w:w="1965"/>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$285</w:t>
            </w:r>
          </w:p>
        </w:tc>
      </w:tr>
      <w:tr>
        <w:trPr>
          <w:cantSplit/>
        </w:trPr>
        <w:tc>
          <w:tcPr>
            <w:tcW w:type="dxa" w:w="392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OCR</w:t>
            </w:r>
          </w:p>
        </w:tc>
        <w:tc>
          <w:tcPr>
            <w:tcW w:type="dxa" w:w="185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$23</w:t>
            </w:r>
          </w:p>
        </w:tc>
        <w:tc>
          <w:tcPr>
            <w:tcW w:type="dxa" w:w="185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$23</w:t>
            </w:r>
          </w:p>
        </w:tc>
        <w:tc>
          <w:tcPr>
            <w:tcW w:type="dxa" w:w="1965"/>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$23</w:t>
            </w:r>
          </w:p>
        </w:tc>
      </w:tr>
      <w:tr>
        <w:trPr>
          <w:cantSplit/>
        </w:trPr>
        <w:tc>
          <w:tcPr>
            <w:tcW w:type="dxa" w:w="392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Transcription</w:t>
            </w:r>
          </w:p>
        </w:tc>
        <w:tc>
          <w:tcPr>
            <w:tcW w:type="dxa" w:w="185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$50</w:t>
            </w:r>
          </w:p>
        </w:tc>
        <w:tc>
          <w:tcPr>
            <w:tcW w:type="dxa" w:w="185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$72</w:t>
            </w:r>
          </w:p>
        </w:tc>
        <w:tc>
          <w:tcPr>
            <w:tcW w:type="dxa" w:w="1965"/>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$72</w:t>
            </w:r>
          </w:p>
        </w:tc>
      </w:tr>
      <w:tr>
        <w:trPr>
          <w:cantSplit/>
        </w:trPr>
        <w:tc>
          <w:tcPr>
            <w:tcW w:type="dxa" w:w="392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Legal search</w:t>
            </w:r>
          </w:p>
        </w:tc>
        <w:tc>
          <w:tcPr>
            <w:tcW w:type="dxa" w:w="185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$75</w:t>
            </w:r>
          </w:p>
        </w:tc>
        <w:tc>
          <w:tcPr>
            <w:tcW w:type="dxa" w:w="185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$810</w:t>
            </w:r>
          </w:p>
        </w:tc>
        <w:tc>
          <w:tcPr>
            <w:tcW w:type="dxa" w:w="1965"/>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$125</w:t>
            </w:r>
          </w:p>
        </w:tc>
      </w:tr>
      <w:tr>
        <w:trPr>
          <w:cantSplit/>
        </w:trPr>
        <w:tc>
          <w:tcPr>
            <w:tcW w:type="dxa" w:w="392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Embeddings</w:t>
            </w:r>
          </w:p>
        </w:tc>
        <w:tc>
          <w:tcPr>
            <w:tcW w:type="dxa" w:w="185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w:t>
            </w:r>
          </w:p>
        </w:tc>
        <w:tc>
          <w:tcPr>
            <w:tcW w:type="dxa" w:w="185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w:t>
            </w:r>
          </w:p>
        </w:tc>
        <w:tc>
          <w:tcPr>
            <w:tcW w:type="dxa" w:w="1965"/>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w:t>
            </w:r>
          </w:p>
        </w:tc>
      </w:tr>
      <w:tr>
        <w:trPr>
          <w:cantSplit/>
        </w:trPr>
        <w:tc>
          <w:tcPr>
            <w:tcW w:type="dxa" w:w="392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Models — economy everywhere</w:t>
            </w:r>
          </w:p>
        </w:tc>
        <w:tc>
          <w:tcPr>
            <w:tcW w:type="dxa" w:w="185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$1,080</w:t>
            </w:r>
          </w:p>
        </w:tc>
        <w:tc>
          <w:tcPr>
            <w:tcW w:type="dxa" w:w="185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$1,000</w:t>
            </w:r>
          </w:p>
        </w:tc>
        <w:tc>
          <w:tcPr>
            <w:tcW w:type="dxa" w:w="1965"/>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$1,000</w:t>
            </w:r>
          </w:p>
        </w:tc>
      </w:tr>
      <w:tr>
        <w:trPr>
          <w:cantSplit/>
        </w:trPr>
        <w:tc>
          <w:tcPr>
            <w:tcW w:type="dxa" w:w="3927"/>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Models — mixed (flagship for reasoning panels, economy for the rest)</w:t>
            </w:r>
          </w:p>
        </w:tc>
        <w:tc>
          <w:tcPr>
            <w:tcW w:type="dxa" w:w="185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$1,356</w:t>
            </w:r>
          </w:p>
        </w:tc>
        <w:tc>
          <w:tcPr>
            <w:tcW w:type="dxa" w:w="1854"/>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$1,450</w:t>
            </w:r>
          </w:p>
        </w:tc>
        <w:tc>
          <w:tcPr>
            <w:tcW w:type="dxa" w:w="1965"/>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$1,450</w:t>
            </w:r>
          </w:p>
        </w:tc>
      </w:tr>
      <w:tr>
        <w:trPr>
          <w:cantSplit/>
        </w:trPr>
        <w:tc>
          <w:tcPr>
            <w:tcW w:type="dxa" w:w="3927"/>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Models — flagship everywhere</w:t>
            </w:r>
          </w:p>
        </w:tc>
        <w:tc>
          <w:tcPr>
            <w:tcW w:type="dxa" w:w="185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$2,000</w:t>
            </w:r>
          </w:p>
        </w:tc>
        <w:tc>
          <w:tcPr>
            <w:tcW w:type="dxa" w:w="1854"/>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$2,500</w:t>
            </w:r>
          </w:p>
        </w:tc>
        <w:tc>
          <w:tcPr>
            <w:tcW w:type="dxa" w:w="1965"/>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$2,500</w:t>
            </w:r>
          </w:p>
        </w:tc>
      </w:tr>
      <w:tr>
        <w:trPr>
          <w:cantSplit/>
        </w:trPr>
        <w:tc>
          <w:tcPr>
            <w:tcW w:type="dxa" w:w="3927"/>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Monthly total — economy</w:t>
            </w:r>
          </w:p>
        </w:tc>
        <w:tc>
          <w:tcPr>
            <w:tcW w:type="dxa" w:w="1854"/>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 $1,539</w:t>
            </w:r>
          </w:p>
        </w:tc>
        <w:tc>
          <w:tcPr>
            <w:tcW w:type="dxa" w:w="1854"/>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 $2,191</w:t>
            </w:r>
          </w:p>
        </w:tc>
        <w:tc>
          <w:tcPr>
            <w:tcW w:type="dxa" w:w="1965"/>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 $1,506</w:t>
            </w:r>
          </w:p>
        </w:tc>
      </w:tr>
      <w:tr>
        <w:trPr>
          <w:cantSplit/>
        </w:trPr>
        <w:tc>
          <w:tcPr>
            <w:tcW w:type="dxa" w:w="3927"/>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Monthly total — mixed</w:t>
            </w:r>
          </w:p>
        </w:tc>
        <w:tc>
          <w:tcPr>
            <w:tcW w:type="dxa" w:w="1854"/>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 $1,815</w:t>
            </w:r>
          </w:p>
        </w:tc>
        <w:tc>
          <w:tcPr>
            <w:tcW w:type="dxa" w:w="1854"/>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 $2,641</w:t>
            </w:r>
          </w:p>
        </w:tc>
        <w:tc>
          <w:tcPr>
            <w:tcW w:type="dxa" w:w="1965"/>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 $1,956</w:t>
            </w:r>
          </w:p>
        </w:tc>
      </w:tr>
      <w:tr>
        <w:trPr>
          <w:cantSplit/>
        </w:trPr>
        <w:tc>
          <w:tcPr>
            <w:tcW w:type="dxa" w:w="3927"/>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Monthly total — flagship</w:t>
            </w:r>
          </w:p>
        </w:tc>
        <w:tc>
          <w:tcPr>
            <w:tcW w:type="dxa" w:w="1854"/>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 $2,459</w:t>
            </w:r>
          </w:p>
        </w:tc>
        <w:tc>
          <w:tcPr>
            <w:tcW w:type="dxa" w:w="1854"/>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 $3,691</w:t>
            </w:r>
          </w:p>
        </w:tc>
        <w:tc>
          <w:tcPr>
            <w:tcW w:type="dxa" w:w="1965"/>
            <w:tcBorders>
              <w:top w:val="single" w:color="C9D2DA" w:sz="4"/>
              <w:left w:val="single" w:color="C9D2DA" w:sz="4"/>
              <w:bottom w:val="single" w:color="C9D2DA" w:sz="4"/>
              <w:right w:val="single" w:color="C9D2DA" w:sz="4"/>
            </w:tcBorders>
            <w:shd w:fill="DCE8F4"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 $3,006</w:t>
            </w:r>
          </w:p>
        </w:tc>
      </w:tr>
    </w:tbl>
    <w:p>
      <w:pPr>
        <w:spacing w:after="200" w:before="60"/>
      </w:pPr>
      <w:r>
        <w:rPr>
          <w:rFonts w:ascii="Calibri" w:cs="Calibri" w:eastAsia="Calibri" w:hAnsi="Calibri"/>
          <w:i/>
          <w:iCs/>
          <w:color w:val="5B6770"/>
          <w:sz w:val="18"/>
          <w:szCs w:val="18"/>
        </w:rPr>
        <w:t xml:space="preserve">"Mixed" assumes 30% of token volume on the flagship (strategy, analysis report, drafting) and 70% on the economy model. The self-built OpenSearch figure is an estimate that must be sized.</w:t>
      </w:r>
    </w:p>
    <w:p>
      <w:pPr>
        <w:pStyle w:val="Heading2"/>
      </w:pPr>
      <w:r>
        <w:rPr>
          <w:rFonts w:ascii="Calibri" w:cs="Calibri" w:eastAsia="Calibri" w:hAnsi="Calibri"/>
        </w:rPr>
        <w:t xml:space="preserve">8.4 What model portability saves</w:t>
      </w:r>
    </w:p>
    <w:p>
      <w:pPr>
        <w:spacing w:after="120" w:line="276"/>
      </w:pPr>
      <w:r>
        <w:rPr>
          <w:rFonts w:ascii="Calibri" w:cs="Calibri" w:eastAsia="Calibri" w:hAnsi="Calibri"/>
          <w:color w:val="1F2933"/>
          <w:sz w:val="21"/>
          <w:szCs w:val="21"/>
        </w:rPr>
        <w:t xml:space="preserve">Per-feature model selection is what makes the "mixed" row possible. At the modelled volume it is about </w:t>
      </w:r>
      <w:r>
        <w:rPr>
          <w:rFonts w:ascii="Calibri" w:cs="Calibri" w:eastAsia="Calibri" w:hAnsi="Calibri"/>
          <w:b/>
          <w:bCs/>
          <w:color w:val="1F2933"/>
          <w:sz w:val="21"/>
          <w:szCs w:val="21"/>
        </w:rPr>
        <w:t xml:space="preserve">$640 a month cheaper on Azure</w:t>
      </w:r>
      <w:r>
        <w:rPr>
          <w:rFonts w:ascii="Calibri" w:cs="Calibri" w:eastAsia="Calibri" w:hAnsi="Calibri"/>
          <w:color w:val="1F2933"/>
          <w:sz w:val="21"/>
          <w:szCs w:val="21"/>
        </w:rPr>
        <w:t xml:space="preserve"> and </w:t>
      </w:r>
      <w:r>
        <w:rPr>
          <w:rFonts w:ascii="Calibri" w:cs="Calibri" w:eastAsia="Calibri" w:hAnsi="Calibri"/>
          <w:b/>
          <w:bCs/>
          <w:color w:val="1F2933"/>
          <w:sz w:val="21"/>
          <w:szCs w:val="21"/>
        </w:rPr>
        <w:t xml:space="preserve">about $1,050 a month cheaper on AWS</w:t>
      </w:r>
      <w:r>
        <w:rPr>
          <w:rFonts w:ascii="Calibri" w:cs="Calibri" w:eastAsia="Calibri" w:hAnsi="Calibri"/>
          <w:color w:val="1F2933"/>
          <w:sz w:val="21"/>
          <w:szCs w:val="21"/>
        </w:rPr>
        <w:t xml:space="preserve"> than running the flagship everywhere, while keeping the flagship on the panels where reasoning quality matters most.</w:t>
      </w:r>
    </w:p>
    <w:p>
      <w:pPr>
        <w:pStyle w:val="Heading2"/>
      </w:pPr>
      <w:r>
        <w:rPr>
          <w:rFonts w:ascii="Calibri" w:cs="Calibri" w:eastAsia="Calibri" w:hAnsi="Calibri"/>
        </w:rPr>
        <w:t xml:space="preserve">8.5 Other costs to budget</w:t>
      </w:r>
    </w:p>
    <w:p>
      <w:pPr>
        <w:pStyle w:val="ListParagraph"/>
        <w:numPr>
          <w:ilvl w:val="0"/>
          <w:numId w:val="3"/>
        </w:numPr>
        <w:spacing w:after="60" w:line="276"/>
      </w:pPr>
      <w:r>
        <w:rPr>
          <w:rFonts w:ascii="Calibri" w:cs="Calibri" w:eastAsia="Calibri" w:hAnsi="Calibri"/>
          <w:b/>
          <w:bCs/>
          <w:color w:val="1F2933"/>
          <w:sz w:val="21"/>
          <w:szCs w:val="21"/>
        </w:rPr>
        <w:t xml:space="preserve">Dual running during migration</w:t>
      </w:r>
      <w:r>
        <w:rPr>
          <w:rFonts w:ascii="Calibri" w:cs="Calibri" w:eastAsia="Calibri" w:hAnsi="Calibri"/>
          <w:color w:val="1F2933"/>
          <w:sz w:val="21"/>
          <w:szCs w:val="21"/>
        </w:rPr>
        <w:t xml:space="preserve"> — both environments live for the migration window.</w:t>
      </w:r>
    </w:p>
    <w:p>
      <w:pPr>
        <w:pStyle w:val="ListParagraph"/>
        <w:numPr>
          <w:ilvl w:val="0"/>
          <w:numId w:val="3"/>
        </w:numPr>
        <w:spacing w:after="60" w:line="276"/>
      </w:pPr>
      <w:r>
        <w:rPr>
          <w:rFonts w:ascii="Calibri" w:cs="Calibri" w:eastAsia="Calibri" w:hAnsi="Calibri"/>
          <w:b/>
          <w:bCs/>
          <w:color w:val="1F2933"/>
          <w:sz w:val="21"/>
          <w:szCs w:val="21"/>
        </w:rPr>
        <w:t xml:space="preserve">Rollback window</w:t>
      </w:r>
      <w:r>
        <w:rPr>
          <w:rFonts w:ascii="Calibri" w:cs="Calibri" w:eastAsia="Calibri" w:hAnsi="Calibri"/>
          <w:color w:val="1F2933"/>
          <w:sz w:val="21"/>
          <w:szCs w:val="21"/>
        </w:rPr>
        <w:t xml:space="preserve"> — the previous environment kept for 2–4 weeks after cutover.</w:t>
      </w:r>
    </w:p>
    <w:p>
      <w:pPr>
        <w:pStyle w:val="ListParagraph"/>
        <w:numPr>
          <w:ilvl w:val="0"/>
          <w:numId w:val="3"/>
        </w:numPr>
        <w:spacing w:after="60" w:line="276"/>
      </w:pPr>
      <w:r>
        <w:rPr>
          <w:rFonts w:ascii="Calibri" w:cs="Calibri" w:eastAsia="Calibri" w:hAnsi="Calibri"/>
          <w:b/>
          <w:bCs/>
          <w:color w:val="1F2933"/>
          <w:sz w:val="21"/>
          <w:szCs w:val="21"/>
        </w:rPr>
        <w:t xml:space="preserve">One-time data transfer</w:t>
      </w:r>
      <w:r>
        <w:rPr>
          <w:rFonts w:ascii="Calibri" w:cs="Calibri" w:eastAsia="Calibri" w:hAnsi="Calibri"/>
          <w:color w:val="1F2933"/>
          <w:sz w:val="21"/>
          <w:szCs w:val="21"/>
        </w:rPr>
        <w:t xml:space="preserve"> — roughly $60 for 500 GB of storage moved between clouds.</w:t>
      </w:r>
    </w:p>
    <w:p>
      <w:pPr>
        <w:pStyle w:val="ListParagraph"/>
        <w:numPr>
          <w:ilvl w:val="0"/>
          <w:numId w:val="3"/>
        </w:numPr>
        <w:spacing w:after="60" w:line="276"/>
      </w:pPr>
      <w:r>
        <w:rPr>
          <w:rFonts w:ascii="Calibri" w:cs="Calibri" w:eastAsia="Calibri" w:hAnsi="Calibri"/>
          <w:b/>
          <w:bCs/>
          <w:color w:val="1F2933"/>
          <w:sz w:val="21"/>
          <w:szCs w:val="21"/>
        </w:rPr>
        <w:t xml:space="preserve">Support plans</w:t>
      </w:r>
      <w:r>
        <w:rPr>
          <w:rFonts w:ascii="Calibri" w:cs="Calibri" w:eastAsia="Calibri" w:hAnsi="Calibri"/>
          <w:color w:val="1F2933"/>
          <w:sz w:val="21"/>
          <w:szCs w:val="21"/>
        </w:rPr>
        <w:t xml:space="preserve"> — AWS Business Support is 10% of spend with a $100 / month minimum; Azure Standard is about $100 / month. Recommended for a production legal workload.</w:t>
      </w:r>
    </w:p>
    <w:p>
      <w:pPr>
        <w:pStyle w:val="ListParagraph"/>
        <w:numPr>
          <w:ilvl w:val="0"/>
          <w:numId w:val="3"/>
        </w:numPr>
        <w:spacing w:after="60" w:line="276"/>
      </w:pPr>
      <w:r>
        <w:rPr>
          <w:rFonts w:ascii="Calibri" w:cs="Calibri" w:eastAsia="Calibri" w:hAnsi="Calibri"/>
          <w:b/>
          <w:bCs/>
          <w:color w:val="1F2933"/>
          <w:sz w:val="21"/>
          <w:szCs w:val="21"/>
        </w:rPr>
        <w:t xml:space="preserve">Standby second cloud</w:t>
      </w:r>
      <w:r>
        <w:rPr>
          <w:rFonts w:ascii="Calibri" w:cs="Calibri" w:eastAsia="Calibri" w:hAnsi="Calibri"/>
          <w:color w:val="1F2933"/>
          <w:sz w:val="21"/>
          <w:szCs w:val="21"/>
        </w:rPr>
        <w:t xml:space="preserve"> (if both are kept) — about $260–350 a month of fixed infrastructure plus its support plan.</w:t>
      </w:r>
    </w:p>
    <w:p>
      <w:pPr>
        <w:pStyle w:val="ListParagraph"/>
        <w:numPr>
          <w:ilvl w:val="0"/>
          <w:numId w:val="3"/>
        </w:numPr>
        <w:spacing w:after="60" w:line="276"/>
      </w:pPr>
      <w:r>
        <w:rPr>
          <w:rFonts w:ascii="Calibri" w:cs="Calibri" w:eastAsia="Calibri" w:hAnsi="Calibri"/>
          <w:b/>
          <w:bCs/>
          <w:color w:val="1F2933"/>
          <w:sz w:val="21"/>
          <w:szCs w:val="21"/>
        </w:rPr>
        <w:t xml:space="preserve">Re-embedding the vector store</w:t>
      </w:r>
      <w:r>
        <w:rPr>
          <w:rFonts w:ascii="Calibri" w:cs="Calibri" w:eastAsia="Calibri" w:hAnsi="Calibri"/>
          <w:color w:val="1F2933"/>
          <w:sz w:val="21"/>
          <w:szCs w:val="21"/>
        </w:rPr>
        <w:t xml:space="preserve"> — a few dollars of embedding cost, run from stored text.</w:t>
      </w:r>
    </w:p>
    <w:p>
      <w:pPr>
        <w:pStyle w:val="Heading1"/>
        <w:pageBreakBefore/>
      </w:pPr>
      <w:r>
        <w:rPr>
          <w:rFonts w:ascii="Calibri" w:cs="Calibri" w:eastAsia="Calibri" w:hAnsi="Calibri"/>
        </w:rPr>
        <w:t xml:space="preserve">9. Risk register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40"/>
        <w:gridCol w:w="3733"/>
        <w:gridCol w:w="1386"/>
        <w:gridCol w:w="3841"/>
      </w:tblGrid>
      <w:tr>
        <w:trPr>
          <w:tblHeader/>
        </w:trPr>
        <w:tc>
          <w:tcPr>
            <w:tcW w:type="dxa" w:w="640"/>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ID</w:t>
            </w:r>
          </w:p>
        </w:tc>
        <w:tc>
          <w:tcPr>
            <w:tcW w:type="dxa" w:w="3733"/>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Risk</w:t>
            </w:r>
          </w:p>
        </w:tc>
        <w:tc>
          <w:tcPr>
            <w:tcW w:type="dxa" w:w="1386"/>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Applies to</w:t>
            </w:r>
          </w:p>
        </w:tc>
        <w:tc>
          <w:tcPr>
            <w:tcW w:type="dxa" w:w="3841"/>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Mitigation</w:t>
            </w:r>
          </w:p>
        </w:tc>
      </w:tr>
      <w:tr>
        <w:trPr>
          <w:cantSplit/>
        </w:trPr>
        <w:tc>
          <w:tcPr>
            <w:tcW w:type="dxa" w:w="6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R-01</w:t>
            </w:r>
          </w:p>
        </w:tc>
        <w:tc>
          <w:tcPr>
            <w:tcW w:type="dxa" w:w="373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Document download links expire on AWS.</w:t>
            </w:r>
            <w:r>
              <w:rPr>
                <w:rFonts w:ascii="Calibri" w:cs="Calibri" w:eastAsia="Calibri" w:hAnsi="Calibri"/>
                <w:b w:val="false"/>
                <w:bCs w:val="false"/>
                <w:color w:val="1F2933"/>
                <w:sz w:val="19"/>
                <w:szCs w:val="19"/>
              </w:rPr>
              <w:t xml:space="preserve"> Draft documents are shared as long-lived links; S3 presigned links are capped at 7 days.</w:t>
            </w:r>
          </w:p>
        </w:tc>
        <w:tc>
          <w:tcPr>
            <w:tcW w:type="dxa" w:w="138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AWS</w:t>
            </w:r>
          </w:p>
        </w:tc>
        <w:tc>
          <w:tcPr>
            <w:tcW w:type="dxa" w:w="384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Redirect endpoint that mints a fresh link per click, or CloudFront signed URLs. Changes what the backend stores — agree with the backend team early. Azure SAS supports long-lived links.</w:t>
            </w:r>
          </w:p>
        </w:tc>
      </w:tr>
      <w:tr>
        <w:trPr>
          <w:cantSplit/>
        </w:trPr>
        <w:tc>
          <w:tcPr>
            <w:tcW w:type="dxa" w:w="6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R-02</w:t>
            </w:r>
          </w:p>
        </w:tc>
        <w:tc>
          <w:tcPr>
            <w:tcW w:type="dxa" w:w="373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Legal search fallback has no like-for-like product.</w:t>
            </w:r>
          </w:p>
        </w:tc>
        <w:tc>
          <w:tcPr>
            <w:tcW w:type="dxa" w:w="138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Azure, AWS</w:t>
            </w:r>
          </w:p>
        </w:tc>
        <w:tc>
          <w:tcPr>
            <w:tcW w:type="dxa" w:w="384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Time-boxed spike first. The route is secondary to direct Indian Kanoon scraping, so a temporary dip does not break the feature.</w:t>
            </w:r>
          </w:p>
        </w:tc>
      </w:tr>
      <w:tr>
        <w:trPr>
          <w:cantSplit/>
        </w:trPr>
        <w:tc>
          <w:tcPr>
            <w:tcW w:type="dxa" w:w="6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R-03</w:t>
            </w:r>
          </w:p>
        </w:tc>
        <w:tc>
          <w:tcPr>
            <w:tcW w:type="dxa" w:w="373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Limited automated tests on the AI flows.</w:t>
            </w:r>
          </w:p>
        </w:tc>
        <w:tc>
          <w:tcPr>
            <w:tcW w:type="dxa" w:w="138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Both</w:t>
            </w:r>
          </w:p>
        </w:tc>
        <w:tc>
          <w:tcPr>
            <w:tcW w:type="dxa" w:w="384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Portability ships an output check per feature per model; WS-15 adds the golden set and socket integration tests before cutover.</w:t>
            </w:r>
          </w:p>
        </w:tc>
      </w:tr>
      <w:tr>
        <w:trPr>
          <w:cantSplit/>
        </w:trPr>
        <w:tc>
          <w:tcPr>
            <w:tcW w:type="dxa" w:w="6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R-04</w:t>
            </w:r>
          </w:p>
        </w:tc>
        <w:tc>
          <w:tcPr>
            <w:tcW w:type="dxa" w:w="373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Single instance only</w:t>
            </w:r>
            <w:r>
              <w:rPr>
                <w:rFonts w:ascii="Calibri" w:cs="Calibri" w:eastAsia="Calibri" w:hAnsi="Calibri"/>
                <w:b w:val="false"/>
                <w:bCs w:val="false"/>
                <w:color w:val="1F2933"/>
                <w:sz w:val="19"/>
                <w:szCs w:val="19"/>
              </w:rPr>
              <w:t xml:space="preserve"> (F-5).</w:t>
            </w:r>
          </w:p>
        </w:tc>
        <w:tc>
          <w:tcPr>
            <w:tcW w:type="dxa" w:w="138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Both</w:t>
            </w:r>
          </w:p>
        </w:tc>
        <w:tc>
          <w:tcPr>
            <w:tcW w:type="dxa" w:w="384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Single instance with automatic restart. Active/active across clouds is a separate ≈15–20-day re-architecture.</w:t>
            </w:r>
          </w:p>
        </w:tc>
      </w:tr>
      <w:tr>
        <w:trPr>
          <w:cantSplit/>
        </w:trPr>
        <w:tc>
          <w:tcPr>
            <w:tcW w:type="dxa" w:w="6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R-05</w:t>
            </w:r>
          </w:p>
        </w:tc>
        <w:tc>
          <w:tcPr>
            <w:tcW w:type="dxa" w:w="373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OCR and transcription quality on Indian-language evidence</w:t>
            </w:r>
            <w:r>
              <w:rPr>
                <w:rFonts w:ascii="Calibri" w:cs="Calibri" w:eastAsia="Calibri" w:hAnsi="Calibri"/>
                <w:b w:val="false"/>
                <w:bCs w:val="false"/>
                <w:color w:val="1F2933"/>
                <w:sz w:val="19"/>
                <w:szCs w:val="19"/>
              </w:rPr>
              <w:t xml:space="preserve"> differs between providers.</w:t>
            </w:r>
          </w:p>
        </w:tc>
        <w:tc>
          <w:tcPr>
            <w:tcW w:type="dxa" w:w="138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Both</w:t>
            </w:r>
          </w:p>
        </w:tc>
        <w:tc>
          <w:tcPr>
            <w:tcW w:type="dxa" w:w="384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Benchmark on the client's real evidence in week 0 of the migration.</w:t>
            </w:r>
          </w:p>
        </w:tc>
      </w:tr>
      <w:tr>
        <w:trPr>
          <w:cantSplit/>
        </w:trPr>
        <w:tc>
          <w:tcPr>
            <w:tcW w:type="dxa" w:w="6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R-06</w:t>
            </w:r>
          </w:p>
        </w:tc>
        <w:tc>
          <w:tcPr>
            <w:tcW w:type="dxa" w:w="373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New embedding model means rebuilding the vector store</w:t>
            </w:r>
            <w:r>
              <w:rPr>
                <w:rFonts w:ascii="Calibri" w:cs="Calibri" w:eastAsia="Calibri" w:hAnsi="Calibri"/>
                <w:b w:val="false"/>
                <w:bCs w:val="false"/>
                <w:color w:val="1F2933"/>
                <w:sz w:val="19"/>
                <w:szCs w:val="19"/>
              </w:rPr>
              <w:t xml:space="preserve">; retrieval degraded until complete.</w:t>
            </w:r>
          </w:p>
        </w:tc>
        <w:tc>
          <w:tcPr>
            <w:tcW w:type="dxa" w:w="138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Both</w:t>
            </w:r>
          </w:p>
        </w:tc>
        <w:tc>
          <w:tcPr>
            <w:tcW w:type="dxa" w:w="384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Re-embed from stored text in a maintenance window; quality check before switch-over.</w:t>
            </w:r>
          </w:p>
        </w:tc>
      </w:tr>
      <w:tr>
        <w:trPr>
          <w:cantSplit/>
        </w:trPr>
        <w:tc>
          <w:tcPr>
            <w:tcW w:type="dxa" w:w="6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R-07</w:t>
            </w:r>
          </w:p>
        </w:tc>
        <w:tc>
          <w:tcPr>
            <w:tcW w:type="dxa" w:w="373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Output quality on a new model must be proven.</w:t>
            </w:r>
          </w:p>
        </w:tc>
        <w:tc>
          <w:tcPr>
            <w:tcW w:type="dxa" w:w="138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Both</w:t>
            </w:r>
          </w:p>
        </w:tc>
        <w:tc>
          <w:tcPr>
            <w:tcW w:type="dxa" w:w="384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Golden set and acceptance thresholds agreed with the client before WS-13 starts.</w:t>
            </w:r>
          </w:p>
        </w:tc>
      </w:tr>
      <w:tr>
        <w:trPr>
          <w:cantSplit/>
        </w:trPr>
        <w:tc>
          <w:tcPr>
            <w:tcW w:type="dxa" w:w="6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R-08</w:t>
            </w:r>
          </w:p>
        </w:tc>
        <w:tc>
          <w:tcPr>
            <w:tcW w:type="dxa" w:w="373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Content-filter approval lead time</w:t>
            </w:r>
            <w:r>
              <w:rPr>
                <w:rFonts w:ascii="Calibri" w:cs="Calibri" w:eastAsia="Calibri" w:hAnsi="Calibri"/>
                <w:b w:val="false"/>
                <w:bCs w:val="false"/>
                <w:color w:val="1F2933"/>
                <w:sz w:val="19"/>
                <w:szCs w:val="19"/>
              </w:rPr>
              <w:t xml:space="preserve"> on Azure OpenAI.</w:t>
            </w:r>
          </w:p>
        </w:tc>
        <w:tc>
          <w:tcPr>
            <w:tcW w:type="dxa" w:w="138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Azure (AWS: Guardrails configuration)</w:t>
            </w:r>
          </w:p>
        </w:tc>
        <w:tc>
          <w:tcPr>
            <w:tcW w:type="dxa" w:w="384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Submit the application in week 1 of the portability feature.</w:t>
            </w:r>
          </w:p>
        </w:tc>
      </w:tr>
      <w:tr>
        <w:trPr>
          <w:cantSplit/>
        </w:trPr>
        <w:tc>
          <w:tcPr>
            <w:tcW w:type="dxa" w:w="6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R-09</w:t>
            </w:r>
          </w:p>
        </w:tc>
        <w:tc>
          <w:tcPr>
            <w:tcW w:type="dxa" w:w="373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Legal evidence blocked by default safety filters.</w:t>
            </w:r>
          </w:p>
        </w:tc>
        <w:tc>
          <w:tcPr>
            <w:tcW w:type="dxa" w:w="138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Both</w:t>
            </w:r>
          </w:p>
        </w:tc>
        <w:tc>
          <w:tcPr>
            <w:tcW w:type="dxa" w:w="384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Least restrictive permitted setting per provider; proven on real case files.</w:t>
            </w:r>
          </w:p>
        </w:tc>
      </w:tr>
      <w:tr>
        <w:trPr>
          <w:cantSplit/>
        </w:trPr>
        <w:tc>
          <w:tcPr>
            <w:tcW w:type="dxa" w:w="6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R-10</w:t>
            </w:r>
          </w:p>
        </w:tc>
        <w:tc>
          <w:tcPr>
            <w:tcW w:type="dxa" w:w="373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Model availability and quotas in the Mumbai region.</w:t>
            </w:r>
          </w:p>
        </w:tc>
        <w:tc>
          <w:tcPr>
            <w:tcW w:type="dxa" w:w="138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Both</w:t>
            </w:r>
          </w:p>
        </w:tc>
        <w:tc>
          <w:tcPr>
            <w:tcW w:type="dxa" w:w="384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Confirm availability and rate limits before selection; portability allows a fallback model per feature.</w:t>
            </w:r>
          </w:p>
        </w:tc>
      </w:tr>
      <w:tr>
        <w:trPr>
          <w:cantSplit/>
        </w:trPr>
        <w:tc>
          <w:tcPr>
            <w:tcW w:type="dxa" w:w="640"/>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R-11</w:t>
            </w:r>
          </w:p>
        </w:tc>
        <w:tc>
          <w:tcPr>
            <w:tcW w:type="dxa" w:w="373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More AI providers means more sub-processors</w:t>
            </w:r>
            <w:r>
              <w:rPr>
                <w:rFonts w:ascii="Calibri" w:cs="Calibri" w:eastAsia="Calibri" w:hAnsi="Calibri"/>
                <w:b w:val="false"/>
                <w:bCs w:val="false"/>
                <w:color w:val="1F2933"/>
                <w:sz w:val="19"/>
                <w:szCs w:val="19"/>
              </w:rPr>
              <w:t xml:space="preserve"> when features are mixed across providers.</w:t>
            </w:r>
          </w:p>
        </w:tc>
        <w:tc>
          <w:tcPr>
            <w:tcW w:type="dxa" w:w="138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Portability</w:t>
            </w:r>
          </w:p>
        </w:tc>
        <w:tc>
          <w:tcPr>
            <w:tcW w:type="dxa" w:w="384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Client legal team approves the provider list; restrict configuration to approved providers.</w:t>
            </w:r>
          </w:p>
        </w:tc>
      </w:tr>
      <w:tr>
        <w:trPr>
          <w:cantSplit/>
        </w:trPr>
        <w:tc>
          <w:tcPr>
            <w:tcW w:type="dxa" w:w="640"/>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R-12</w:t>
            </w:r>
          </w:p>
        </w:tc>
        <w:tc>
          <w:tcPr>
            <w:tcW w:type="dxa" w:w="373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Operating system ownership on EC2.</w:t>
            </w:r>
            <w:r>
              <w:rPr>
                <w:rFonts w:ascii="Calibri" w:cs="Calibri" w:eastAsia="Calibri" w:hAnsi="Calibri"/>
                <w:b w:val="false"/>
                <w:bCs w:val="false"/>
                <w:color w:val="1F2933"/>
                <w:sz w:val="19"/>
                <w:szCs w:val="19"/>
              </w:rPr>
              <w:t xml:space="preserve"> Unlike a managed container platform, the instance OS must be patched and monitored.</w:t>
            </w:r>
          </w:p>
        </w:tc>
        <w:tc>
          <w:tcPr>
            <w:tcW w:type="dxa" w:w="138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AWS</w:t>
            </w:r>
          </w:p>
        </w:tc>
        <w:tc>
          <w:tcPr>
            <w:tcW w:type="dxa" w:w="384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Systems Manager patch baseline and maintenance window, CloudWatch agent for host metrics, instance auto-recovery through an Auto Scaling group of one, documented in the runbook.</w:t>
            </w:r>
          </w:p>
        </w:tc>
      </w:tr>
    </w:tbl>
    <w:p>
      <w:pPr>
        <w:pStyle w:val="Heading1"/>
        <w:pageBreakBefore/>
      </w:pPr>
      <w:r>
        <w:rPr>
          <w:rFonts w:ascii="Calibri" w:cs="Calibri" w:eastAsia="Calibri" w:hAnsi="Calibri"/>
        </w:rPr>
        <w:t xml:space="preserve">10. Delivery plan</w:t>
      </w:r>
    </w:p>
    <w:p>
      <w:pPr>
        <w:spacing w:after="120" w:line="276"/>
      </w:pPr>
      <w:r>
        <w:rPr>
          <w:rFonts w:ascii="Calibri" w:cs="Calibri" w:eastAsia="Calibri" w:hAnsi="Calibri"/>
          <w:color w:val="1F2933"/>
          <w:sz w:val="21"/>
          <w:szCs w:val="21"/>
        </w:rPr>
        <w:t xml:space="preserve">One full-time engineer with part-time support. A second engineer runs the infrastructure and model tracks in parallel and shortens the migration by about 40%.</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86"/>
        <w:gridCol w:w="2133"/>
        <w:gridCol w:w="6081"/>
      </w:tblGrid>
      <w:tr>
        <w:trPr>
          <w:tblHeader/>
        </w:trPr>
        <w:tc>
          <w:tcPr>
            <w:tcW w:type="dxa" w:w="1386"/>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When</w:t>
            </w:r>
          </w:p>
        </w:tc>
        <w:tc>
          <w:tcPr>
            <w:tcW w:type="dxa" w:w="2133"/>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Phase</w:t>
            </w:r>
          </w:p>
        </w:tc>
        <w:tc>
          <w:tcPr>
            <w:tcW w:type="dxa" w:w="6081"/>
            <w:tcBorders>
              <w:top w:val="single" w:color="C9D2DA" w:sz="4"/>
              <w:left w:val="single" w:color="C9D2DA" w:sz="4"/>
              <w:bottom w:val="single" w:color="C9D2DA" w:sz="4"/>
              <w:right w:val="single" w:color="C9D2DA" w:sz="4"/>
            </w:tcBorders>
            <w:shd w:fill="1F4E79"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FFFFFF"/>
                <w:sz w:val="19"/>
                <w:szCs w:val="19"/>
              </w:rPr>
              <w:t xml:space="preserve">What happens</w:t>
            </w:r>
          </w:p>
        </w:tc>
      </w:tr>
      <w:tr>
        <w:trPr>
          <w:cantSplit/>
        </w:trPr>
        <w:tc>
          <w:tcPr>
            <w:tcW w:type="dxa" w:w="138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Weeks 1–4</w:t>
            </w:r>
          </w:p>
        </w:tc>
        <w:tc>
          <w:tcPr>
            <w:tcW w:type="dxa" w:w="213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Model portability feature</w:t>
            </w:r>
          </w:p>
        </w:tc>
        <w:tc>
          <w:tcPr>
            <w:tcW w:type="dxa" w:w="608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Model layer, adapters for Gemini / Azure OpenAI / Bedrock, per-feature routing, embeddings, per-model costing, output checks (section 4.3). Content-filter application submitted in week 1.</w:t>
            </w:r>
          </w:p>
        </w:tc>
      </w:tr>
      <w:tr>
        <w:trPr>
          <w:cantSplit/>
        </w:trPr>
        <w:tc>
          <w:tcPr>
            <w:tcW w:type="dxa" w:w="138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Week 5</w:t>
            </w:r>
          </w:p>
        </w:tc>
        <w:tc>
          <w:tcPr>
            <w:tcW w:type="dxa" w:w="213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Migration spike</w:t>
            </w:r>
          </w:p>
        </w:tc>
        <w:tc>
          <w:tcPr>
            <w:tcW w:type="dxa" w:w="608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Benchmark OCR, transcription and the candidate models on the client's sample evidence; confirm regional model availability; fix the cloud choice.</w:t>
            </w:r>
          </w:p>
        </w:tc>
      </w:tr>
      <w:tr>
        <w:trPr>
          <w:cantSplit/>
        </w:trPr>
        <w:tc>
          <w:tcPr>
            <w:tcW w:type="dxa" w:w="138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Weeks 6–7</w:t>
            </w:r>
          </w:p>
        </w:tc>
        <w:tc>
          <w:tcPr>
            <w:tcW w:type="dxa" w:w="213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Foundation</w:t>
            </w:r>
          </w:p>
        </w:tc>
        <w:tc>
          <w:tcPr>
            <w:tcW w:type="dxa" w:w="608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Account, network, container, secrets and identity, key rotation; golden set built and baselined.</w:t>
            </w:r>
          </w:p>
        </w:tc>
      </w:tr>
      <w:tr>
        <w:trPr>
          <w:cantSplit/>
        </w:trPr>
        <w:tc>
          <w:tcPr>
            <w:tcW w:type="dxa" w:w="138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Weeks 8–10</w:t>
            </w:r>
          </w:p>
        </w:tc>
        <w:tc>
          <w:tcPr>
            <w:tcW w:type="dxa" w:w="213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Data and services</w:t>
            </w:r>
          </w:p>
        </w:tc>
        <w:tc>
          <w:tcPr>
            <w:tcW w:type="dxa" w:w="608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Qdrant and Redis, storage and reference backfill, OCR, transcription, legal search and grounding adapters.</w:t>
            </w:r>
          </w:p>
        </w:tc>
      </w:tr>
      <w:tr>
        <w:trPr>
          <w:cantSplit/>
        </w:trPr>
        <w:tc>
          <w:tcPr>
            <w:tcW w:type="dxa" w:w="138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Weeks 11–15</w:t>
            </w:r>
          </w:p>
        </w:tc>
        <w:tc>
          <w:tcPr>
            <w:tcW w:type="dxa" w:w="213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Model tuning and quality</w:t>
            </w:r>
          </w:p>
        </w:tc>
        <w:tc>
          <w:tcPr>
            <w:tcW w:type="dxa" w:w="608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Prompt tuning on the target model, safety posture, vector store re-embed, quality proof against the golden set.</w:t>
            </w:r>
          </w:p>
        </w:tc>
      </w:tr>
      <w:tr>
        <w:trPr>
          <w:cantSplit/>
        </w:trPr>
        <w:tc>
          <w:tcPr>
            <w:tcW w:type="dxa" w:w="1386"/>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Weeks 16–19</w:t>
            </w:r>
          </w:p>
        </w:tc>
        <w:tc>
          <w:tcPr>
            <w:tcW w:type="dxa" w:w="2133"/>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Regression and cutover</w:t>
            </w:r>
          </w:p>
        </w:tc>
        <w:tc>
          <w:tcPr>
            <w:tcW w:type="dxa" w:w="6081"/>
            <w:tcBorders>
              <w:top w:val="single" w:color="C9D2DA" w:sz="4"/>
              <w:left w:val="single" w:color="C9D2DA" w:sz="4"/>
              <w:bottom w:val="single" w:color="C9D2DA" w:sz="4"/>
              <w:right w:val="single" w:color="C9D2DA" w:sz="4"/>
            </w:tcBorders>
            <w:shd w:fill="F5F8FB" w:color="auto" w:val="clear"/>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Observability, full end-to-end pass on staging, parallel run, IP allowlisting, cutover, documented rollback, handover.</w:t>
            </w:r>
          </w:p>
        </w:tc>
      </w:tr>
      <w:tr>
        <w:trPr>
          <w:cantSplit/>
        </w:trPr>
        <w:tc>
          <w:tcPr>
            <w:tcW w:type="dxa" w:w="1386"/>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bCs/>
                <w:color w:val="1F2933"/>
                <w:sz w:val="19"/>
                <w:szCs w:val="19"/>
              </w:rPr>
              <w:t xml:space="preserve">Later (optional)</w:t>
            </w:r>
          </w:p>
        </w:tc>
        <w:tc>
          <w:tcPr>
            <w:tcW w:type="dxa" w:w="2133"/>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Second cloud</w:t>
            </w:r>
          </w:p>
        </w:tc>
        <w:tc>
          <w:tcPr>
            <w:tcW w:type="dxa" w:w="6081"/>
            <w:tcBorders>
              <w:top w:val="single" w:color="C9D2DA" w:sz="4"/>
              <w:left w:val="single" w:color="C9D2DA" w:sz="4"/>
              <w:bottom w:val="single" w:color="C9D2DA" w:sz="4"/>
              <w:right w:val="single" w:color="C9D2DA" w:sz="4"/>
            </w:tcBorders>
            <w:tcMar>
              <w:top w:type="dxa" w:w="70"/>
              <w:left w:type="dxa" w:w="110"/>
              <w:bottom w:type="dxa" w:w="70"/>
              <w:right w:type="dxa" w:w="110"/>
            </w:tcMar>
            <w:vAlign w:val="center"/>
          </w:tcPr>
          <w:p>
            <w:pPr>
              <w:spacing w:after="20" w:line="252"/>
              <w:jc w:val="left"/>
            </w:pPr>
            <w:r>
              <w:rPr>
                <w:rFonts w:ascii="Calibri" w:cs="Calibri" w:eastAsia="Calibri" w:hAnsi="Calibri"/>
                <w:b w:val="false"/>
                <w:bCs w:val="false"/>
                <w:color w:val="1F2933"/>
                <w:sz w:val="19"/>
                <w:szCs w:val="19"/>
              </w:rPr>
              <w:t xml:space="preserve">Infrastructure and service adapters on the other cloud, prompt overlays, re-embed, quality proof, standby or per-client go-live (45–70 days).</w:t>
            </w:r>
          </w:p>
        </w:tc>
      </w:tr>
    </w:tbl>
    <w:p>
      <w:pPr>
        <w:pStyle w:val="Heading1"/>
        <w:pageBreakBefore/>
      </w:pPr>
      <w:r>
        <w:rPr>
          <w:rFonts w:ascii="Calibri" w:cs="Calibri" w:eastAsia="Calibri" w:hAnsi="Calibri"/>
        </w:rPr>
        <w:t xml:space="preserve">11. What we need from you</w:t>
      </w:r>
    </w:p>
    <w:p>
      <w:pPr>
        <w:pStyle w:val="Heading2"/>
      </w:pPr>
      <w:r>
        <w:rPr>
          <w:rFonts w:ascii="Calibri" w:cs="Calibri" w:eastAsia="Calibri" w:hAnsi="Calibri"/>
        </w:rPr>
        <w:t xml:space="preserve">Decisions</w:t>
      </w:r>
    </w:p>
    <w:p>
      <w:pPr>
        <w:pStyle w:val="ListParagraph"/>
        <w:numPr>
          <w:ilvl w:val="0"/>
          <w:numId w:val="2"/>
        </w:numPr>
        <w:spacing w:after="60" w:line="276"/>
      </w:pPr>
      <w:r>
        <w:rPr>
          <w:rFonts w:ascii="Calibri" w:cs="Calibri" w:eastAsia="Calibri" w:hAnsi="Calibri"/>
          <w:b/>
          <w:bCs/>
          <w:color w:val="1F2933"/>
          <w:sz w:val="21"/>
          <w:szCs w:val="21"/>
        </w:rPr>
        <w:t xml:space="preserve">Azure or AWS</w:t>
      </w:r>
      <w:r>
        <w:rPr>
          <w:rFonts w:ascii="Calibri" w:cs="Calibri" w:eastAsia="Calibri" w:hAnsi="Calibri"/>
          <w:color w:val="1F2933"/>
          <w:sz w:val="21"/>
          <w:szCs w:val="21"/>
        </w:rPr>
        <w:t xml:space="preserve"> as the primary cloud (our recommendation: Azure).</w:t>
      </w:r>
    </w:p>
    <w:p>
      <w:pPr>
        <w:pStyle w:val="ListParagraph"/>
        <w:numPr>
          <w:ilvl w:val="0"/>
          <w:numId w:val="2"/>
        </w:numPr>
        <w:spacing w:after="60" w:line="276"/>
      </w:pPr>
      <w:r>
        <w:rPr>
          <w:rFonts w:ascii="Calibri" w:cs="Calibri" w:eastAsia="Calibri" w:hAnsi="Calibri"/>
          <w:b/>
          <w:bCs/>
          <w:color w:val="1F2933"/>
          <w:sz w:val="21"/>
          <w:szCs w:val="21"/>
        </w:rPr>
        <w:t xml:space="preserve">How the second cloud is used, if at all:</w:t>
      </w:r>
      <w:r>
        <w:rPr>
          <w:rFonts w:ascii="Calibri" w:cs="Calibri" w:eastAsia="Calibri" w:hAnsi="Calibri"/>
          <w:color w:val="1F2933"/>
          <w:sz w:val="21"/>
          <w:szCs w:val="21"/>
        </w:rPr>
        <w:t xml:space="preserve"> standby, specific clients, or both live for the same clients (the last needs re-architecture).</w:t>
      </w:r>
    </w:p>
    <w:p>
      <w:pPr>
        <w:pStyle w:val="ListParagraph"/>
        <w:numPr>
          <w:ilvl w:val="0"/>
          <w:numId w:val="2"/>
        </w:numPr>
        <w:spacing w:after="60" w:line="276"/>
      </w:pPr>
      <w:r>
        <w:rPr>
          <w:rFonts w:ascii="Calibri" w:cs="Calibri" w:eastAsia="Calibri" w:hAnsi="Calibri"/>
          <w:b/>
          <w:bCs/>
          <w:color w:val="1F2933"/>
          <w:sz w:val="21"/>
          <w:szCs w:val="21"/>
        </w:rPr>
        <w:t xml:space="preserve">Model profile per feature:</w:t>
      </w:r>
      <w:r>
        <w:rPr>
          <w:rFonts w:ascii="Calibri" w:cs="Calibri" w:eastAsia="Calibri" w:hAnsi="Calibri"/>
          <w:color w:val="1F2933"/>
          <w:sz w:val="21"/>
          <w:szCs w:val="21"/>
        </w:rPr>
        <w:t xml:space="preserve"> flagship everywhere, economy everywhere, or mixed (section 8.3).</w:t>
      </w:r>
    </w:p>
    <w:p>
      <w:pPr>
        <w:pStyle w:val="ListParagraph"/>
        <w:numPr>
          <w:ilvl w:val="0"/>
          <w:numId w:val="2"/>
        </w:numPr>
        <w:spacing w:after="60" w:line="276"/>
      </w:pPr>
      <w:r>
        <w:rPr>
          <w:rFonts w:ascii="Calibri" w:cs="Calibri" w:eastAsia="Calibri" w:hAnsi="Calibri"/>
          <w:b/>
          <w:bCs/>
          <w:color w:val="1F2933"/>
          <w:sz w:val="21"/>
          <w:szCs w:val="21"/>
        </w:rPr>
        <w:t xml:space="preserve">Approved AI providers and region</w:t>
      </w:r>
      <w:r>
        <w:rPr>
          <w:rFonts w:ascii="Calibri" w:cs="Calibri" w:eastAsia="Calibri" w:hAnsi="Calibri"/>
          <w:color w:val="1F2933"/>
          <w:sz w:val="21"/>
          <w:szCs w:val="21"/>
        </w:rPr>
        <w:t xml:space="preserve"> for data residency and the DPDP sub-processor list.</w:t>
      </w:r>
    </w:p>
    <w:p>
      <w:pPr>
        <w:pStyle w:val="ListParagraph"/>
        <w:numPr>
          <w:ilvl w:val="0"/>
          <w:numId w:val="2"/>
        </w:numPr>
        <w:spacing w:after="60" w:line="276"/>
      </w:pPr>
      <w:r>
        <w:rPr>
          <w:rFonts w:ascii="Calibri" w:cs="Calibri" w:eastAsia="Calibri" w:hAnsi="Calibri"/>
          <w:b/>
          <w:bCs/>
          <w:color w:val="1F2933"/>
          <w:sz w:val="21"/>
          <w:szCs w:val="21"/>
        </w:rPr>
        <w:t xml:space="preserve">Managed or self-hosted vector store</w:t>
      </w:r>
      <w:r>
        <w:rPr>
          <w:rFonts w:ascii="Calibri" w:cs="Calibri" w:eastAsia="Calibri" w:hAnsi="Calibri"/>
          <w:color w:val="1F2933"/>
          <w:sz w:val="21"/>
          <w:szCs w:val="21"/>
        </w:rPr>
        <w:t xml:space="preserve"> (Qdrant Cloud or container).</w:t>
      </w:r>
    </w:p>
    <w:p>
      <w:pPr>
        <w:pStyle w:val="ListParagraph"/>
        <w:numPr>
          <w:ilvl w:val="0"/>
          <w:numId w:val="2"/>
        </w:numPr>
        <w:spacing w:after="60" w:line="276"/>
      </w:pPr>
      <w:r>
        <w:rPr>
          <w:rFonts w:ascii="Calibri" w:cs="Calibri" w:eastAsia="Calibri" w:hAnsi="Calibri"/>
          <w:b/>
          <w:bCs/>
          <w:color w:val="1F2933"/>
          <w:sz w:val="21"/>
          <w:szCs w:val="21"/>
        </w:rPr>
        <w:t xml:space="preserve">Quality acceptance criteria</w:t>
      </w:r>
      <w:r>
        <w:rPr>
          <w:rFonts w:ascii="Calibri" w:cs="Calibri" w:eastAsia="Calibri" w:hAnsi="Calibri"/>
          <w:color w:val="1F2933"/>
          <w:sz w:val="21"/>
          <w:szCs w:val="21"/>
        </w:rPr>
        <w:t xml:space="preserve"> per panel, agreed before model tuning starts.</w:t>
      </w:r>
    </w:p>
    <w:p>
      <w:pPr>
        <w:pStyle w:val="Heading2"/>
      </w:pPr>
      <w:r>
        <w:rPr>
          <w:rFonts w:ascii="Calibri" w:cs="Calibri" w:eastAsia="Calibri" w:hAnsi="Calibri"/>
        </w:rPr>
        <w:t xml:space="preserve">Access and inputs</w:t>
      </w:r>
    </w:p>
    <w:p>
      <w:pPr>
        <w:pStyle w:val="ListParagraph"/>
        <w:numPr>
          <w:ilvl w:val="0"/>
          <w:numId w:val="3"/>
        </w:numPr>
        <w:spacing w:after="60" w:line="276"/>
      </w:pPr>
      <w:r>
        <w:rPr>
          <w:rFonts w:ascii="Calibri" w:cs="Calibri" w:eastAsia="Calibri" w:hAnsi="Calibri"/>
          <w:color w:val="1F2933"/>
          <w:sz w:val="21"/>
          <w:szCs w:val="21"/>
        </w:rPr>
        <w:t xml:space="preserve">Accounts / subscriptions with administrative rights on the chosen cloud, and API access to each AI provider to be enabled in the portability feature.</w:t>
      </w:r>
    </w:p>
    <w:p>
      <w:pPr>
        <w:pStyle w:val="ListParagraph"/>
        <w:numPr>
          <w:ilvl w:val="0"/>
          <w:numId w:val="3"/>
        </w:numPr>
        <w:spacing w:after="60" w:line="276"/>
      </w:pPr>
      <w:r>
        <w:rPr>
          <w:rFonts w:ascii="Calibri" w:cs="Calibri" w:eastAsia="Calibri" w:hAnsi="Calibri"/>
          <w:color w:val="1F2933"/>
          <w:sz w:val="21"/>
          <w:szCs w:val="21"/>
        </w:rPr>
        <w:t xml:space="preserve">Backend-team availability for outbound-IP allowlisting, the download-link change on AWS (R-01) and the cutover window.</w:t>
      </w:r>
    </w:p>
    <w:p>
      <w:pPr>
        <w:pStyle w:val="ListParagraph"/>
        <w:numPr>
          <w:ilvl w:val="0"/>
          <w:numId w:val="3"/>
        </w:numPr>
        <w:spacing w:after="60" w:line="276"/>
      </w:pPr>
      <w:r>
        <w:rPr>
          <w:rFonts w:ascii="Calibri" w:cs="Calibri" w:eastAsia="Calibri" w:hAnsi="Calibri"/>
          <w:color w:val="1F2933"/>
          <w:sz w:val="21"/>
          <w:szCs w:val="21"/>
        </w:rPr>
        <w:t xml:space="preserve">A staging backend to validate against.</w:t>
      </w:r>
    </w:p>
    <w:p>
      <w:pPr>
        <w:pStyle w:val="ListParagraph"/>
        <w:numPr>
          <w:ilvl w:val="0"/>
          <w:numId w:val="3"/>
        </w:numPr>
        <w:spacing w:after="60" w:line="276"/>
      </w:pPr>
      <w:r>
        <w:rPr>
          <w:rFonts w:ascii="Calibri" w:cs="Calibri" w:eastAsia="Calibri" w:hAnsi="Calibri"/>
          <w:color w:val="1F2933"/>
          <w:sz w:val="21"/>
          <w:szCs w:val="21"/>
        </w:rPr>
        <w:t xml:space="preserve">A sample evidence set (about 20 documents and 5 audio recordings) and 20–30 anonymised cases with lawyer-approved outputs for the golden set.</w:t>
      </w:r>
    </w:p>
    <w:p>
      <w:pPr>
        <w:pStyle w:val="Heading1"/>
        <w:pageBreakBefore/>
      </w:pPr>
      <w:r>
        <w:rPr>
          <w:rFonts w:ascii="Calibri" w:cs="Calibri" w:eastAsia="Calibri" w:hAnsi="Calibri"/>
        </w:rPr>
        <w:t xml:space="preserve">12. Assumptions and exclusions</w:t>
      </w:r>
    </w:p>
    <w:p>
      <w:pPr>
        <w:pStyle w:val="Heading2"/>
      </w:pPr>
      <w:r>
        <w:rPr>
          <w:rFonts w:ascii="Calibri" w:cs="Calibri" w:eastAsia="Calibri" w:hAnsi="Calibri"/>
        </w:rPr>
        <w:t xml:space="preserve">Assumptions</w:t>
      </w:r>
    </w:p>
    <w:p>
      <w:pPr>
        <w:pStyle w:val="ListParagraph"/>
        <w:numPr>
          <w:ilvl w:val="0"/>
          <w:numId w:val="3"/>
        </w:numPr>
        <w:spacing w:after="60" w:line="276"/>
      </w:pPr>
      <w:r>
        <w:rPr>
          <w:rFonts w:ascii="Calibri" w:cs="Calibri" w:eastAsia="Calibri" w:hAnsi="Calibri"/>
          <w:color w:val="1F2933"/>
          <w:sz w:val="21"/>
          <w:szCs w:val="21"/>
        </w:rPr>
        <w:t xml:space="preserve">Only the AI service moves; the application backend stays where it is.</w:t>
      </w:r>
    </w:p>
    <w:p>
      <w:pPr>
        <w:pStyle w:val="ListParagraph"/>
        <w:numPr>
          <w:ilvl w:val="0"/>
          <w:numId w:val="3"/>
        </w:numPr>
        <w:spacing w:after="60" w:line="276"/>
      </w:pPr>
      <w:r>
        <w:rPr>
          <w:rFonts w:ascii="Calibri" w:cs="Calibri" w:eastAsia="Calibri" w:hAnsi="Calibri"/>
          <w:color w:val="1F2933"/>
          <w:sz w:val="21"/>
          <w:szCs w:val="21"/>
        </w:rPr>
        <w:t xml:space="preserve">The model portability feature is delivered before the migration starts; migration figures assume it.</w:t>
      </w:r>
    </w:p>
    <w:p>
      <w:pPr>
        <w:pStyle w:val="ListParagraph"/>
        <w:numPr>
          <w:ilvl w:val="0"/>
          <w:numId w:val="3"/>
        </w:numPr>
        <w:spacing w:after="60" w:line="276"/>
      </w:pPr>
      <w:r>
        <w:rPr>
          <w:rFonts w:ascii="Calibri" w:cs="Calibri" w:eastAsia="Calibri" w:hAnsi="Calibri"/>
          <w:color w:val="1F2933"/>
          <w:sz w:val="21"/>
          <w:szCs w:val="21"/>
        </w:rPr>
        <w:t xml:space="preserve">If the current deployment uses a managed container platform whose configuration must be ported, add 2–4 days.</w:t>
      </w:r>
    </w:p>
    <w:p>
      <w:pPr>
        <w:pStyle w:val="ListParagraph"/>
        <w:numPr>
          <w:ilvl w:val="0"/>
          <w:numId w:val="3"/>
        </w:numPr>
        <w:spacing w:after="60" w:line="276"/>
      </w:pPr>
      <w:r>
        <w:rPr>
          <w:rFonts w:ascii="Calibri" w:cs="Calibri" w:eastAsia="Calibri" w:hAnsi="Calibri"/>
          <w:color w:val="1F2933"/>
          <w:sz w:val="21"/>
          <w:szCs w:val="21"/>
        </w:rPr>
        <w:t xml:space="preserve">Redis is provisioned for continuity; no application data is held in it.</w:t>
      </w:r>
    </w:p>
    <w:p>
      <w:pPr>
        <w:pStyle w:val="ListParagraph"/>
        <w:numPr>
          <w:ilvl w:val="0"/>
          <w:numId w:val="3"/>
        </w:numPr>
        <w:spacing w:after="60" w:line="276"/>
      </w:pPr>
      <w:r>
        <w:rPr>
          <w:rFonts w:ascii="Calibri" w:cs="Calibri" w:eastAsia="Calibri" w:hAnsi="Calibri"/>
          <w:color w:val="1F2933"/>
          <w:sz w:val="21"/>
          <w:szCs w:val="21"/>
        </w:rPr>
        <w:t xml:space="preserve">Feature development on the affected modules is frozen during the migration window.</w:t>
      </w:r>
    </w:p>
    <w:p>
      <w:pPr>
        <w:pStyle w:val="ListParagraph"/>
        <w:numPr>
          <w:ilvl w:val="0"/>
          <w:numId w:val="3"/>
        </w:numPr>
        <w:spacing w:after="60" w:line="276"/>
      </w:pPr>
      <w:r>
        <w:rPr>
          <w:rFonts w:ascii="Calibri" w:cs="Calibri" w:eastAsia="Calibri" w:hAnsi="Calibri"/>
          <w:color w:val="1F2933"/>
          <w:sz w:val="21"/>
          <w:szCs w:val="21"/>
        </w:rPr>
        <w:t xml:space="preserve">Volumes in section 8 are modelled, not measured; real usage figures will sharpen every total.</w:t>
      </w:r>
    </w:p>
    <w:p>
      <w:pPr>
        <w:pStyle w:val="ListParagraph"/>
        <w:numPr>
          <w:ilvl w:val="0"/>
          <w:numId w:val="3"/>
        </w:numPr>
        <w:spacing w:after="60" w:line="276"/>
      </w:pPr>
      <w:r>
        <w:rPr>
          <w:rFonts w:ascii="Calibri" w:cs="Calibri" w:eastAsia="Calibri" w:hAnsi="Calibri"/>
          <w:color w:val="1F2933"/>
          <w:sz w:val="21"/>
          <w:szCs w:val="21"/>
        </w:rPr>
        <w:t xml:space="preserve">Model names, prices and regional availability are to be confirmed with the providers.</w:t>
      </w:r>
    </w:p>
    <w:p>
      <w:pPr>
        <w:pStyle w:val="Heading2"/>
      </w:pPr>
      <w:r>
        <w:rPr>
          <w:rFonts w:ascii="Calibri" w:cs="Calibri" w:eastAsia="Calibri" w:hAnsi="Calibri"/>
        </w:rPr>
        <w:t xml:space="preserve">Not included</w:t>
      </w:r>
    </w:p>
    <w:p>
      <w:pPr>
        <w:pStyle w:val="ListParagraph"/>
        <w:numPr>
          <w:ilvl w:val="0"/>
          <w:numId w:val="3"/>
        </w:numPr>
        <w:spacing w:after="60" w:line="276"/>
      </w:pPr>
      <w:r>
        <w:rPr>
          <w:rFonts w:ascii="Calibri" w:cs="Calibri" w:eastAsia="Calibri" w:hAnsi="Calibri"/>
          <w:color w:val="1F2933"/>
          <w:sz w:val="21"/>
          <w:szCs w:val="21"/>
        </w:rPr>
        <w:t xml:space="preserve">High availability, multi-region or active/active deployment.</w:t>
      </w:r>
    </w:p>
    <w:p>
      <w:pPr>
        <w:pStyle w:val="ListParagraph"/>
        <w:numPr>
          <w:ilvl w:val="0"/>
          <w:numId w:val="3"/>
        </w:numPr>
        <w:spacing w:after="60" w:line="276"/>
      </w:pPr>
      <w:r>
        <w:rPr>
          <w:rFonts w:ascii="Calibri" w:cs="Calibri" w:eastAsia="Calibri" w:hAnsi="Calibri"/>
          <w:color w:val="1F2933"/>
          <w:sz w:val="21"/>
          <w:szCs w:val="21"/>
        </w:rPr>
        <w:t xml:space="preserve">Changes to product behaviour or feature scope.</w:t>
      </w:r>
    </w:p>
    <w:p>
      <w:pPr>
        <w:pStyle w:val="ListParagraph"/>
        <w:numPr>
          <w:ilvl w:val="0"/>
          <w:numId w:val="3"/>
        </w:numPr>
        <w:spacing w:after="60" w:line="276"/>
      </w:pPr>
      <w:r>
        <w:rPr>
          <w:rFonts w:ascii="Calibri" w:cs="Calibri" w:eastAsia="Calibri" w:hAnsi="Calibri"/>
          <w:color w:val="1F2933"/>
          <w:sz w:val="21"/>
          <w:szCs w:val="21"/>
        </w:rPr>
        <w:t xml:space="preserve">Migration of the vendored Keel knowledge-plane copy.</w:t>
      </w:r>
    </w:p>
    <w:p>
      <w:pPr>
        <w:pStyle w:val="ListParagraph"/>
        <w:numPr>
          <w:ilvl w:val="0"/>
          <w:numId w:val="3"/>
        </w:numPr>
        <w:spacing w:after="60" w:line="276"/>
      </w:pPr>
      <w:r>
        <w:rPr>
          <w:rFonts w:ascii="Calibri" w:cs="Calibri" w:eastAsia="Calibri" w:hAnsi="Calibri"/>
          <w:color w:val="1F2933"/>
          <w:sz w:val="21"/>
          <w:szCs w:val="21"/>
        </w:rPr>
        <w:t xml:space="preserve">Firm infrastructure or model pricing.</w:t>
      </w:r>
    </w:p>
    <w:p>
      <w:pPr>
        <w:spacing w:after="300"/>
      </w:pPr>
    </w:p>
    <w:p>
      <w:pPr>
        <w:pBdr>
          <w:top w:val="single" w:color="C9D2DA" w:sz="6" w:space="6"/>
        </w:pBdr>
      </w:pPr>
      <w:r>
        <w:rPr>
          <w:rFonts w:ascii="Calibri" w:cs="Calibri" w:eastAsia="Calibri" w:hAnsi="Calibri"/>
          <w:i/>
          <w:iCs/>
          <w:color w:val="5B6770"/>
          <w:sz w:val="17"/>
          <w:szCs w:val="17"/>
        </w:rPr>
        <w:t xml:space="preserve">SimplerToday AI — AWS &amp; Azure migration and model portability · v3.0 · 30 September 2026. Effort in engineering person-days, excluding client-side approvals and provisioning. Costs are indicative USD list prices for the Mumbai region.</w:t>
      </w:r>
    </w:p>
    <w:sectPr>
      <w:headerReference w:type="default" r:id="rId6"/>
      <w:footerReference w:type="default" r:id="rId7"/>
      <w:pgSz w:w="11906" w:h="16838" w:orient="portrait"/>
      <w:pgMar w:top="1200" w:right="1153" w:bottom="1100" w:left="115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00"/>
      </w:tabs>
    </w:pPr>
    <w:r>
      <w:rPr>
        <w:rFonts w:ascii="Calibri" w:cs="Calibri" w:eastAsia="Calibri" w:hAnsi="Calibri"/>
        <w:color w:val="5B6770"/>
        <w:sz w:val="16"/>
        <w:szCs w:val="16"/>
      </w:rPr>
      <w:t xml:space="preserve">Draft for client review · indicative figures</w:t>
    </w:r>
    <w:r>
      <w:rPr>
        <w:rFonts w:ascii="Calibri" w:cs="Calibri" w:eastAsia="Calibri" w:hAnsi="Calibri"/>
        <w:color w:val="5B6770"/>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770"/>
        <w:sz w:val="16"/>
        <w:szCs w:val="16"/>
      </w:rPr>
      <w:t xml:space="preserve">SimplerToday AI · AWS &amp; Azure Migration and Model Portability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29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SimplerToday AI — AWS &amp; Azure Migration and Model Portability</dc:title>
  <dc:creator>SimplerToday AI engineering</dc:creator>
  <cp:lastModifiedBy>Un-named</cp:lastModifiedBy>
  <cp:revision>1</cp:revision>
  <dcterms:created xsi:type="dcterms:W3CDTF">2026-09-30T08:46:11.543Z</dcterms:created>
  <dcterms:modified xsi:type="dcterms:W3CDTF">2026-09-30T08:46:11.543Z</dcterms:modified>
</cp:coreProperties>
</file>

<file path=docProps/custom.xml><?xml version="1.0" encoding="utf-8"?>
<Properties xmlns="http://schemas.openxmlformats.org/officeDocument/2006/custom-properties" xmlns:vt="http://schemas.openxmlformats.org/officeDocument/2006/docPropsVTypes"/>
</file>