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AGEI Updated Document Set</w:t>
      </w:r>
    </w:p>
    <w:p>
      <w:pPr>
        <w:jc w:val="center"/>
      </w:pPr>
      <w:r>
        <w:rPr>
          <w:i/>
          <w:sz w:val="24"/>
        </w:rPr>
        <w:t>Index and Completion Notes</w:t>
      </w:r>
    </w:p>
    <w:p>
      <w:pPr>
        <w:jc w:val="center"/>
      </w:pPr>
      <w:r>
        <w:rPr>
          <w:i/>
        </w:rPr>
        <w:t>Denzil Greenwood | CognitiveInsight.ai | April 2026</w:t>
      </w:r>
    </w:p>
    <w:p/>
    <w:p>
      <w:pPr>
        <w:pStyle w:val="Heading1"/>
      </w:pPr>
      <w:r>
        <w:t>Included Documents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vAlign w:val="center"/>
          </w:tcPr>
          <w:p>
            <w:pPr>
              <w:spacing w:after="0"/>
            </w:pPr>
            <w:r>
              <w:rPr>
                <w:sz w:val="18"/>
              </w:rPr>
            </w:r>
            <w:r>
              <w:rPr>
                <w:b/>
                <w:sz w:val="18"/>
              </w:rPr>
              <w:t>File</w:t>
            </w:r>
          </w:p>
        </w:tc>
        <w:tc>
          <w:tcPr>
            <w:tcW w:type="dxa" w:w="5040"/>
            <w:shd w:fill="D9EAF7"/>
            <w:vAlign w:val="center"/>
          </w:tcPr>
          <w:p>
            <w:pPr>
              <w:spacing w:after="0"/>
            </w:pPr>
            <w:r>
              <w:rPr>
                <w:sz w:val="18"/>
              </w:rPr>
            </w:r>
            <w:r>
              <w:rPr>
                <w:b/>
                <w:sz w:val="18"/>
              </w:rPr>
              <w:t>Description</w:t>
            </w:r>
          </w:p>
        </w:tc>
      </w:tr>
      <w:tr>
        <w:trPr>
          <w:cantSplit/>
        </w:trPr>
        <w:tc>
          <w:tcPr>
            <w:tcW w:type="dxa" w:w="5040"/>
            <w:vAlign w:val="top"/>
          </w:tcPr>
          <w:p>
            <w:pPr>
              <w:spacing w:after="0"/>
            </w:pPr>
            <w:r>
              <w:rPr>
                <w:sz w:val="18"/>
              </w:rPr>
            </w:r>
            <w:r>
              <w:rPr>
                <w:b w:val="0"/>
                <w:sz w:val="18"/>
              </w:rPr>
              <w:t>01_AGEI_Operating_Model_and_Reference_Architecture.docx</w:t>
            </w:r>
          </w:p>
        </w:tc>
        <w:tc>
          <w:tcPr>
            <w:tcW w:type="dxa" w:w="5040"/>
            <w:vAlign w:val="top"/>
          </w:tcPr>
          <w:p>
            <w:pPr>
              <w:spacing w:after="0"/>
            </w:pPr>
            <w:r>
              <w:rPr>
                <w:sz w:val="18"/>
              </w:rPr>
            </w:r>
            <w:r>
              <w:rPr>
                <w:b w:val="0"/>
                <w:sz w:val="18"/>
              </w:rPr>
              <w:t>Schema/database-aligned update</w:t>
            </w:r>
          </w:p>
        </w:tc>
      </w:tr>
      <w:tr>
        <w:trPr>
          <w:cantSplit/>
        </w:trPr>
        <w:tc>
          <w:tcPr>
            <w:tcW w:type="dxa" w:w="5040"/>
            <w:vAlign w:val="top"/>
          </w:tcPr>
          <w:p>
            <w:pPr>
              <w:spacing w:after="0"/>
            </w:pPr>
            <w:r>
              <w:rPr>
                <w:sz w:val="18"/>
              </w:rPr>
            </w:r>
            <w:r>
              <w:rPr>
                <w:b w:val="0"/>
                <w:sz w:val="18"/>
              </w:rPr>
              <w:t>02_CIAF_LCM_Process_Model_Database_Aligned.docx</w:t>
            </w:r>
          </w:p>
        </w:tc>
        <w:tc>
          <w:tcPr>
            <w:tcW w:type="dxa" w:w="5040"/>
            <w:vAlign w:val="top"/>
          </w:tcPr>
          <w:p>
            <w:pPr>
              <w:spacing w:after="0"/>
            </w:pPr>
            <w:r>
              <w:rPr>
                <w:sz w:val="18"/>
              </w:rPr>
            </w:r>
            <w:r>
              <w:rPr>
                <w:b w:val="0"/>
                <w:sz w:val="18"/>
              </w:rPr>
              <w:t>Schema/database-aligned update</w:t>
            </w:r>
          </w:p>
        </w:tc>
      </w:tr>
      <w:tr>
        <w:trPr>
          <w:cantSplit/>
        </w:trPr>
        <w:tc>
          <w:tcPr>
            <w:tcW w:type="dxa" w:w="5040"/>
            <w:vAlign w:val="top"/>
          </w:tcPr>
          <w:p>
            <w:pPr>
              <w:spacing w:after="0"/>
            </w:pPr>
            <w:r>
              <w:rPr>
                <w:sz w:val="18"/>
              </w:rPr>
            </w:r>
            <w:r>
              <w:rPr>
                <w:b w:val="0"/>
                <w:sz w:val="18"/>
              </w:rPr>
              <w:t>03_CIAF_LCM_Governance_Gates_Database_Aligned.docx</w:t>
            </w:r>
          </w:p>
        </w:tc>
        <w:tc>
          <w:tcPr>
            <w:tcW w:type="dxa" w:w="5040"/>
            <w:vAlign w:val="top"/>
          </w:tcPr>
          <w:p>
            <w:pPr>
              <w:spacing w:after="0"/>
            </w:pPr>
            <w:r>
              <w:rPr>
                <w:sz w:val="18"/>
              </w:rPr>
            </w:r>
            <w:r>
              <w:rPr>
                <w:b w:val="0"/>
                <w:sz w:val="18"/>
              </w:rPr>
              <w:t>Schema/database-aligned update</w:t>
            </w:r>
          </w:p>
        </w:tc>
      </w:tr>
      <w:tr>
        <w:trPr>
          <w:cantSplit/>
        </w:trPr>
        <w:tc>
          <w:tcPr>
            <w:tcW w:type="dxa" w:w="5040"/>
            <w:vAlign w:val="top"/>
          </w:tcPr>
          <w:p>
            <w:pPr>
              <w:spacing w:after="0"/>
            </w:pPr>
            <w:r>
              <w:rPr>
                <w:sz w:val="18"/>
              </w:rPr>
            </w:r>
            <w:r>
              <w:rPr>
                <w:b w:val="0"/>
                <w:sz w:val="18"/>
              </w:rPr>
              <w:t>04_AGEI_Practical_Lifecycle_Walkthrough.docx</w:t>
            </w:r>
          </w:p>
        </w:tc>
        <w:tc>
          <w:tcPr>
            <w:tcW w:type="dxa" w:w="5040"/>
            <w:vAlign w:val="top"/>
          </w:tcPr>
          <w:p>
            <w:pPr>
              <w:spacing w:after="0"/>
            </w:pPr>
            <w:r>
              <w:rPr>
                <w:sz w:val="18"/>
              </w:rPr>
            </w:r>
            <w:r>
              <w:rPr>
                <w:b w:val="0"/>
                <w:sz w:val="18"/>
              </w:rPr>
              <w:t>Schema/database-aligned update</w:t>
            </w:r>
          </w:p>
        </w:tc>
      </w:tr>
      <w:tr>
        <w:trPr>
          <w:cantSplit/>
        </w:trPr>
        <w:tc>
          <w:tcPr>
            <w:tcW w:type="dxa" w:w="5040"/>
            <w:vAlign w:val="top"/>
          </w:tcPr>
          <w:p>
            <w:pPr>
              <w:spacing w:after="0"/>
            </w:pPr>
            <w:r>
              <w:rPr>
                <w:sz w:val="18"/>
              </w:rPr>
            </w:r>
            <w:r>
              <w:rPr>
                <w:b w:val="0"/>
                <w:sz w:val="18"/>
              </w:rPr>
              <w:t>05_AGEI_Assurance_Profiles.docx</w:t>
            </w:r>
          </w:p>
        </w:tc>
        <w:tc>
          <w:tcPr>
            <w:tcW w:type="dxa" w:w="5040"/>
            <w:vAlign w:val="top"/>
          </w:tcPr>
          <w:p>
            <w:pPr>
              <w:spacing w:after="0"/>
            </w:pPr>
            <w:r>
              <w:rPr>
                <w:sz w:val="18"/>
              </w:rPr>
            </w:r>
            <w:r>
              <w:rPr>
                <w:b w:val="0"/>
                <w:sz w:val="18"/>
              </w:rPr>
              <w:t>Schema/database-aligned update</w:t>
            </w:r>
          </w:p>
        </w:tc>
      </w:tr>
      <w:tr>
        <w:trPr>
          <w:cantSplit/>
        </w:trPr>
        <w:tc>
          <w:tcPr>
            <w:tcW w:type="dxa" w:w="5040"/>
            <w:vAlign w:val="top"/>
          </w:tcPr>
          <w:p>
            <w:pPr>
              <w:spacing w:after="0"/>
            </w:pPr>
            <w:r>
              <w:rPr>
                <w:sz w:val="18"/>
              </w:rPr>
            </w:r>
            <w:r>
              <w:rPr>
                <w:b w:val="0"/>
                <w:sz w:val="18"/>
              </w:rPr>
              <w:t>06_Tamper_Evident_Evidence_Vault_Database_Aligned.docx</w:t>
            </w:r>
          </w:p>
        </w:tc>
        <w:tc>
          <w:tcPr>
            <w:tcW w:type="dxa" w:w="5040"/>
            <w:vAlign w:val="top"/>
          </w:tcPr>
          <w:p>
            <w:pPr>
              <w:spacing w:after="0"/>
            </w:pPr>
            <w:r>
              <w:rPr>
                <w:sz w:val="18"/>
              </w:rPr>
            </w:r>
            <w:r>
              <w:rPr>
                <w:b w:val="0"/>
                <w:sz w:val="18"/>
              </w:rPr>
              <w:t>Schema/database-aligned update</w:t>
            </w:r>
          </w:p>
        </w:tc>
      </w:tr>
      <w:tr>
        <w:trPr>
          <w:cantSplit/>
        </w:trPr>
        <w:tc>
          <w:tcPr>
            <w:tcW w:type="dxa" w:w="5040"/>
            <w:vAlign w:val="top"/>
          </w:tcPr>
          <w:p>
            <w:pPr>
              <w:spacing w:after="0"/>
            </w:pPr>
            <w:r>
              <w:rPr>
                <w:sz w:val="18"/>
              </w:rPr>
            </w:r>
            <w:r>
              <w:rPr>
                <w:b w:val="0"/>
                <w:sz w:val="18"/>
              </w:rPr>
              <w:t>07_Governance_Planes_for_Agentic_AI_Database_Aligned.docx</w:t>
            </w:r>
          </w:p>
        </w:tc>
        <w:tc>
          <w:tcPr>
            <w:tcW w:type="dxa" w:w="5040"/>
            <w:vAlign w:val="top"/>
          </w:tcPr>
          <w:p>
            <w:pPr>
              <w:spacing w:after="0"/>
            </w:pPr>
            <w:r>
              <w:rPr>
                <w:sz w:val="18"/>
              </w:rPr>
            </w:r>
            <w:r>
              <w:rPr>
                <w:b w:val="0"/>
                <w:sz w:val="18"/>
              </w:rPr>
              <w:t>Schema/database-aligned update</w:t>
            </w:r>
          </w:p>
        </w:tc>
      </w:tr>
      <w:tr>
        <w:trPr>
          <w:cantSplit/>
        </w:trPr>
        <w:tc>
          <w:tcPr>
            <w:tcW w:type="dxa" w:w="5040"/>
            <w:vAlign w:val="top"/>
          </w:tcPr>
          <w:p>
            <w:pPr>
              <w:spacing w:after="0"/>
            </w:pPr>
            <w:r>
              <w:rPr>
                <w:sz w:val="18"/>
              </w:rPr>
            </w:r>
            <w:r>
              <w:rPr>
                <w:b w:val="0"/>
                <w:sz w:val="18"/>
              </w:rPr>
              <w:t>08_Shadow_AI_and_Dual_Layer_Provenance_Database_Aligned.docx</w:t>
            </w:r>
          </w:p>
        </w:tc>
        <w:tc>
          <w:tcPr>
            <w:tcW w:type="dxa" w:w="5040"/>
            <w:vAlign w:val="top"/>
          </w:tcPr>
          <w:p>
            <w:pPr>
              <w:spacing w:after="0"/>
            </w:pPr>
            <w:r>
              <w:rPr>
                <w:sz w:val="18"/>
              </w:rPr>
            </w:r>
            <w:r>
              <w:rPr>
                <w:b w:val="0"/>
                <w:sz w:val="18"/>
              </w:rPr>
              <w:t>Schema/database-aligned update</w:t>
            </w:r>
          </w:p>
        </w:tc>
      </w:tr>
    </w:tbl>
    <w:p/>
    <w:p>
      <w:pPr>
        <w:pStyle w:val="Heading1"/>
      </w:pPr>
      <w:r>
        <w:t>What This Completes</w:t>
      </w:r>
    </w:p>
    <w:p>
      <w:r>
        <w:t>This package implements the suggested follow-on work after the schema fix: master AGEI operating overview, CIAF-LCM process update, Governance Gates update, practical lifecycle walkthrough, assurance profiles, Evidence Vault update, Agent Governance update, and Shadow AI / Provenance update.</w:t>
      </w:r>
    </w:p>
    <w:p>
      <w:pPr>
        <w:pStyle w:val="Heading1"/>
      </w:pPr>
      <w:r>
        <w:t>Recommended Next Step</w:t>
      </w:r>
    </w:p>
    <w:p>
      <w:r>
        <w:t>Use the operating overview as the canonical reader map. Then decide whether to merge these documents into a single white paper series, keep them as standalone papers, or turn the walkthrough and assurance profiles into product/pilot documentation.</w:t>
      </w:r>
    </w:p>
    <w:p>
      <w:pPr>
        <w:pStyle w:val="Heading1"/>
      </w:pPr>
      <w:r>
        <w:t>AI Use and Editorial Note</w:t>
      </w:r>
    </w:p>
    <w:p>
      <w:r>
        <w:t>This draft was prepared for concept development, publication planning, and architecture alignment. AI assistance may have been used to structure and draft the material, with human editorial control, technical judgment, and final review expected before publication or external distribution.</w:t>
      </w:r>
    </w:p>
    <w:p>
      <w:pPr>
        <w:pStyle w:val="Heading1"/>
      </w:pPr>
      <w:r>
        <w:t>Source Basis</w:t>
      </w:r>
    </w:p>
    <w:p>
      <w:r>
        <w:t>This document is based on the AGEI category paper, CIAF-LCM process paper, CIAF-LCM with Governance Gates paper, evidence vault paper, agent governance paper, shadow AI paper, dual-layer provenance paper, global regulatory reference guide, and the completed database/schema structure exported in DATABASE.md.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