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 Governance Evidence Infrastructure</w:t>
      </w:r>
    </w:p>
    <w:p>
      <w:pPr>
        <w:jc w:val="center"/>
      </w:pPr>
      <w:r>
        <w:rPr>
          <w:i/>
          <w:sz w:val="24"/>
        </w:rPr>
        <w:t>Operating Model and Reference Architecture</w:t>
      </w:r>
    </w:p>
    <w:p>
      <w:pPr>
        <w:jc w:val="center"/>
      </w:pPr>
      <w:r>
        <w:rPr>
          <w:i/>
        </w:rPr>
        <w:t>Denzil Greenwood | CognitiveInsight.ai | April 2026</w:t>
      </w:r>
    </w:p>
    <w:p/>
    <w:p>
      <w:pPr>
        <w:pStyle w:val="Heading1"/>
      </w:pPr>
      <w:r>
        <w:t>Abstract</w:t>
      </w:r>
    </w:p>
    <w:p>
      <w:r>
        <w:t>AI Governance Evidence Infrastructure (AGEI) is the architectural layer that captures, evaluates, seals, links, stores, retrieves, and verifies governance evidence across the AI lifecycle. This operating overview connects the completed database structure to the conceptual papers. It shows how governance policy becomes machine-evaluable control, how gates enforce policy at lifecycle and runtime transition points, how receipts preserve evidence-bearing state transitions, how the evidence vault provides durable custody, and how audit packs materialize proof for inspection, incident review, legal review, customer assurance, or regulatory inquiry.</w:t>
      </w:r>
    </w:p>
    <w:p>
      <w:pPr>
        <w:pStyle w:val="Heading1"/>
      </w:pPr>
      <w:r>
        <w:t>1. Executive Summary</w:t>
      </w:r>
    </w:p>
    <w:p>
      <w:r>
        <w:t>The completed schema makes AGEI concrete. The architecture is no longer only a paper model. It now has a database-backed operating contract that represents policy versions, policy rules, gate definitions, gate evaluations, lifecycle objects, receipts, evidence objects, vault objects, audit packs, verification jobs, agent pre-action proof, downstream artifact provenance, shadow AI governance, incidents, and privacy rights evidence.</w:t>
      </w:r>
    </w:p>
    <w:p>
      <w:r>
        <w:t>The core operating chain is: governance policy -&gt; machine-evaluable logic -&gt; gate definitions -&gt; lifecycle event capture -&gt; policy evaluations -&gt; gate evaluations -&gt; receipts -&gt; evidence objects -&gt; vault objects -&gt; audit packs -&gt; verification jobs. That chain is the basis of the “proof, not logs” claim.</w:t>
      </w:r>
    </w:p>
    <w:tbl>
      <w:tblPr>
        <w:tblStyle w:val="TableGrid"/>
        <w:tblW w:type="auto" w:w="0"/>
        <w:tblLook w:firstColumn="1" w:firstRow="1" w:lastColumn="0" w:lastRow="0" w:noHBand="0" w:noVBand="1" w:val="04A0"/>
      </w:tblPr>
      <w:tblGrid>
        <w:gridCol w:w="10080"/>
      </w:tblGrid>
      <w:tr>
        <w:trPr>
          <w:tblHeader w:val="true"/>
          <w:cantSplit/>
        </w:trPr>
        <w:tc>
          <w:tcPr>
            <w:tcW w:type="dxa" w:w="10080"/>
            <w:shd w:fill="F2F6F8"/>
          </w:tcPr>
          <w:p>
            <w:pPr>
              <w:spacing w:after="80"/>
            </w:pPr>
            <w:r>
              <w:rPr>
                <w:sz w:val="18"/>
              </w:rPr>
            </w:r>
            <w:r>
              <w:rPr>
                <w:b/>
                <w:sz w:val="18"/>
              </w:rPr>
              <w:t>Operating invariant</w:t>
            </w:r>
          </w:p>
          <w:p>
            <w:pPr>
              <w:pStyle w:val="BodyText"/>
              <w:spacing w:after="40"/>
            </w:pPr>
            <w:r>
              <w:rPr>
                <w:sz w:val="18"/>
              </w:rPr>
              <w:t>For governed actions, no consequential lifecycle transition or sensitive agent action should execute until the applicable gate has produced a decision record and the required receipt/evidence linkage exists.</w:t>
            </w:r>
          </w:p>
          <w:p>
            <w:pPr>
              <w:pStyle w:val="BodyText"/>
              <w:spacing w:after="40"/>
            </w:pPr>
            <w:r>
              <w:rPr>
                <w:sz w:val="18"/>
              </w:rPr>
              <w:t>For non-blocking observational events, the system may create lightweight receipts and defer fuller materialization until an audit, incident, inspection, dispute, escalation, or sampling trigger occurs.</w:t>
            </w:r>
          </w:p>
        </w:tc>
      </w:tr>
    </w:tbl>
    <w:p/>
    <w:p>
      <w:pPr>
        <w:pStyle w:val="Heading1"/>
      </w:pPr>
      <w:r>
        <w:t>2. System Boundary</w:t>
      </w:r>
    </w:p>
    <w:p>
      <w:r>
        <w:t>AGEI is not a replacement for MLOps, observability, GRC, IAM, PAM, DLP, SIEM, or model registries. It is the evidence layer that binds governance-relevant facts across those systems. It asks: what evidence proves what happened, why it happened, who or what acted, which policy applied, which controls executed, and whether the evidence can be verified later by a skeptical reviewer.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pPr>
              <w:spacing w:after="0"/>
            </w:pPr>
            <w:r>
              <w:rPr>
                <w:sz w:val="18"/>
              </w:rPr>
            </w:r>
            <w:r>
              <w:rPr>
                <w:b/>
                <w:sz w:val="18"/>
              </w:rPr>
              <w:t>Adjacent system</w:t>
            </w:r>
          </w:p>
        </w:tc>
        <w:tc>
          <w:tcPr>
            <w:tcW w:type="dxa" w:w="3360"/>
            <w:shd w:fill="D9EAF7"/>
            <w:vAlign w:val="center"/>
          </w:tcPr>
          <w:p>
            <w:pPr>
              <w:spacing w:after="0"/>
            </w:pPr>
            <w:r>
              <w:rPr>
                <w:sz w:val="18"/>
              </w:rPr>
            </w:r>
            <w:r>
              <w:rPr>
                <w:b/>
                <w:sz w:val="18"/>
              </w:rPr>
              <w:t>Primary job</w:t>
            </w:r>
          </w:p>
        </w:tc>
        <w:tc>
          <w:tcPr>
            <w:tcW w:type="dxa" w:w="3360"/>
            <w:shd w:fill="D9EAF7"/>
            <w:vAlign w:val="center"/>
          </w:tcPr>
          <w:p>
            <w:pPr>
              <w:spacing w:after="0"/>
            </w:pPr>
            <w:r>
              <w:rPr>
                <w:sz w:val="18"/>
              </w:rPr>
            </w:r>
            <w:r>
              <w:rPr>
                <w:b/>
                <w:sz w:val="18"/>
              </w:rPr>
              <w:t>AGEI relationship</w:t>
            </w:r>
          </w:p>
        </w:tc>
      </w:tr>
      <w:tr>
        <w:trPr>
          <w:cantSplit/>
        </w:trPr>
        <w:tc>
          <w:tcPr>
            <w:tcW w:type="dxa" w:w="3360"/>
            <w:vAlign w:val="top"/>
          </w:tcPr>
          <w:p>
            <w:pPr>
              <w:spacing w:after="0"/>
            </w:pPr>
            <w:r>
              <w:rPr>
                <w:sz w:val="18"/>
              </w:rPr>
            </w:r>
            <w:r>
              <w:rPr>
                <w:b w:val="0"/>
                <w:sz w:val="18"/>
              </w:rPr>
              <w:t>MLOps/model registry</w:t>
            </w:r>
          </w:p>
        </w:tc>
        <w:tc>
          <w:tcPr>
            <w:tcW w:type="dxa" w:w="3360"/>
            <w:vAlign w:val="top"/>
          </w:tcPr>
          <w:p>
            <w:pPr>
              <w:spacing w:after="0"/>
            </w:pPr>
            <w:r>
              <w:rPr>
                <w:sz w:val="18"/>
              </w:rPr>
            </w:r>
            <w:r>
              <w:rPr>
                <w:b w:val="0"/>
                <w:sz w:val="18"/>
              </w:rPr>
              <w:t>Build, evaluate, promote, and deploy models.</w:t>
            </w:r>
          </w:p>
        </w:tc>
        <w:tc>
          <w:tcPr>
            <w:tcW w:type="dxa" w:w="3360"/>
            <w:vAlign w:val="top"/>
          </w:tcPr>
          <w:p>
            <w:pPr>
              <w:spacing w:after="0"/>
            </w:pPr>
            <w:r>
              <w:rPr>
                <w:sz w:val="18"/>
              </w:rPr>
            </w:r>
            <w:r>
              <w:rPr>
                <w:b w:val="0"/>
                <w:sz w:val="18"/>
              </w:rPr>
              <w:t>AGEI records governed lifecycle transitions and binds them to policy/gate outcomes.</w:t>
            </w:r>
          </w:p>
        </w:tc>
      </w:tr>
      <w:tr>
        <w:trPr>
          <w:cantSplit/>
        </w:trPr>
        <w:tc>
          <w:tcPr>
            <w:tcW w:type="dxa" w:w="3360"/>
            <w:vAlign w:val="top"/>
          </w:tcPr>
          <w:p>
            <w:pPr>
              <w:spacing w:after="0"/>
            </w:pPr>
            <w:r>
              <w:rPr>
                <w:sz w:val="18"/>
              </w:rPr>
            </w:r>
            <w:r>
              <w:rPr>
                <w:b w:val="0"/>
                <w:sz w:val="18"/>
              </w:rPr>
              <w:t>Observability/SIEM</w:t>
            </w:r>
          </w:p>
        </w:tc>
        <w:tc>
          <w:tcPr>
            <w:tcW w:type="dxa" w:w="3360"/>
            <w:vAlign w:val="top"/>
          </w:tcPr>
          <w:p>
            <w:pPr>
              <w:spacing w:after="0"/>
            </w:pPr>
            <w:r>
              <w:rPr>
                <w:sz w:val="18"/>
              </w:rPr>
            </w:r>
            <w:r>
              <w:rPr>
                <w:b w:val="0"/>
                <w:sz w:val="18"/>
              </w:rPr>
              <w:t>Monitor behavior, traces, logs, metrics, and security events.</w:t>
            </w:r>
          </w:p>
        </w:tc>
        <w:tc>
          <w:tcPr>
            <w:tcW w:type="dxa" w:w="3360"/>
            <w:vAlign w:val="top"/>
          </w:tcPr>
          <w:p>
            <w:pPr>
              <w:spacing w:after="0"/>
            </w:pPr>
            <w:r>
              <w:rPr>
                <w:sz w:val="18"/>
              </w:rPr>
            </w:r>
            <w:r>
              <w:rPr>
                <w:b w:val="0"/>
                <w:sz w:val="18"/>
              </w:rPr>
              <w:t>AGEI turns selected governance-relevant events into signed, linked evidence.</w:t>
            </w:r>
          </w:p>
        </w:tc>
      </w:tr>
      <w:tr>
        <w:trPr>
          <w:cantSplit/>
        </w:trPr>
        <w:tc>
          <w:tcPr>
            <w:tcW w:type="dxa" w:w="3360"/>
            <w:vAlign w:val="top"/>
          </w:tcPr>
          <w:p>
            <w:pPr>
              <w:spacing w:after="0"/>
            </w:pPr>
            <w:r>
              <w:rPr>
                <w:sz w:val="18"/>
              </w:rPr>
            </w:r>
            <w:r>
              <w:rPr>
                <w:b w:val="0"/>
                <w:sz w:val="18"/>
              </w:rPr>
              <w:t>GRC/control library</w:t>
            </w:r>
          </w:p>
        </w:tc>
        <w:tc>
          <w:tcPr>
            <w:tcW w:type="dxa" w:w="3360"/>
            <w:vAlign w:val="top"/>
          </w:tcPr>
          <w:p>
            <w:pPr>
              <w:spacing w:after="0"/>
            </w:pPr>
            <w:r>
              <w:rPr>
                <w:sz w:val="18"/>
              </w:rPr>
            </w:r>
            <w:r>
              <w:rPr>
                <w:b w:val="0"/>
                <w:sz w:val="18"/>
              </w:rPr>
              <w:t>Define policies, risks, controls, and obligations.</w:t>
            </w:r>
          </w:p>
        </w:tc>
        <w:tc>
          <w:tcPr>
            <w:tcW w:type="dxa" w:w="3360"/>
            <w:vAlign w:val="top"/>
          </w:tcPr>
          <w:p>
            <w:pPr>
              <w:spacing w:after="0"/>
            </w:pPr>
            <w:r>
              <w:rPr>
                <w:sz w:val="18"/>
              </w:rPr>
            </w:r>
            <w:r>
              <w:rPr>
                <w:b w:val="0"/>
                <w:sz w:val="18"/>
              </w:rPr>
              <w:t>AGEI operationalizes policies as versioned logic and gate evaluations.</w:t>
            </w:r>
          </w:p>
        </w:tc>
      </w:tr>
      <w:tr>
        <w:trPr>
          <w:cantSplit/>
        </w:trPr>
        <w:tc>
          <w:tcPr>
            <w:tcW w:type="dxa" w:w="3360"/>
            <w:vAlign w:val="top"/>
          </w:tcPr>
          <w:p>
            <w:pPr>
              <w:spacing w:after="0"/>
            </w:pPr>
            <w:r>
              <w:rPr>
                <w:sz w:val="18"/>
              </w:rPr>
            </w:r>
            <w:r>
              <w:rPr>
                <w:b w:val="0"/>
                <w:sz w:val="18"/>
              </w:rPr>
              <w:t>IAM/PAM</w:t>
            </w:r>
          </w:p>
        </w:tc>
        <w:tc>
          <w:tcPr>
            <w:tcW w:type="dxa" w:w="3360"/>
            <w:vAlign w:val="top"/>
          </w:tcPr>
          <w:p>
            <w:pPr>
              <w:spacing w:after="0"/>
            </w:pPr>
            <w:r>
              <w:rPr>
                <w:sz w:val="18"/>
              </w:rPr>
            </w:r>
            <w:r>
              <w:rPr>
                <w:b w:val="0"/>
                <w:sz w:val="18"/>
              </w:rPr>
              <w:t>Authenticate actors and control privilege.</w:t>
            </w:r>
          </w:p>
        </w:tc>
        <w:tc>
          <w:tcPr>
            <w:tcW w:type="dxa" w:w="3360"/>
            <w:vAlign w:val="top"/>
          </w:tcPr>
          <w:p>
            <w:pPr>
              <w:spacing w:after="0"/>
            </w:pPr>
            <w:r>
              <w:rPr>
                <w:sz w:val="18"/>
              </w:rPr>
            </w:r>
            <w:r>
              <w:rPr>
                <w:b w:val="0"/>
                <w:sz w:val="18"/>
              </w:rPr>
              <w:t>AGEI records principal identity, delegation, elevation, pre-action proof, and action receipts.</w:t>
            </w:r>
          </w:p>
        </w:tc>
      </w:tr>
      <w:tr>
        <w:trPr>
          <w:cantSplit/>
        </w:trPr>
        <w:tc>
          <w:tcPr>
            <w:tcW w:type="dxa" w:w="3360"/>
            <w:vAlign w:val="top"/>
          </w:tcPr>
          <w:p>
            <w:pPr>
              <w:spacing w:after="0"/>
            </w:pPr>
            <w:r>
              <w:rPr>
                <w:sz w:val="18"/>
              </w:rPr>
            </w:r>
            <w:r>
              <w:rPr>
                <w:b w:val="0"/>
                <w:sz w:val="18"/>
              </w:rPr>
              <w:t>Data privacy tooling</w:t>
            </w:r>
          </w:p>
        </w:tc>
        <w:tc>
          <w:tcPr>
            <w:tcW w:type="dxa" w:w="3360"/>
            <w:vAlign w:val="top"/>
          </w:tcPr>
          <w:p>
            <w:pPr>
              <w:spacing w:after="0"/>
            </w:pPr>
            <w:r>
              <w:rPr>
                <w:sz w:val="18"/>
              </w:rPr>
            </w:r>
            <w:r>
              <w:rPr>
                <w:b w:val="0"/>
                <w:sz w:val="18"/>
              </w:rPr>
              <w:t>Manage rights, retention, consent, lawful basis, and redaction.</w:t>
            </w:r>
          </w:p>
        </w:tc>
        <w:tc>
          <w:tcPr>
            <w:tcW w:type="dxa" w:w="3360"/>
            <w:vAlign w:val="top"/>
          </w:tcPr>
          <w:p>
            <w:pPr>
              <w:spacing w:after="0"/>
            </w:pPr>
            <w:r>
              <w:rPr>
                <w:sz w:val="18"/>
              </w:rPr>
            </w:r>
            <w:r>
              <w:rPr>
                <w:b w:val="0"/>
                <w:sz w:val="18"/>
              </w:rPr>
              <w:t>AGEI records privacy operations as evidence-bearing events tied to receipts and vault objects.</w:t>
            </w:r>
          </w:p>
        </w:tc>
      </w:tr>
    </w:tbl>
    <w:p/>
    <w:p>
      <w:pPr>
        <w:pStyle w:val="Heading1"/>
      </w:pPr>
      <w:r>
        <w:t>3. Reference Architecture</w:t>
      </w:r>
    </w:p>
    <w:p>
      <w:r>
        <w:t>The reference architecture has eight operating layers. Each layer has conceptual responsibility and database representation.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pPr>
              <w:spacing w:after="0"/>
            </w:pPr>
            <w:r>
              <w:rPr>
                <w:sz w:val="18"/>
              </w:rPr>
            </w:r>
            <w:r>
              <w:rPr>
                <w:b/>
                <w:sz w:val="18"/>
              </w:rPr>
              <w:t>Layer</w:t>
            </w:r>
          </w:p>
        </w:tc>
        <w:tc>
          <w:tcPr>
            <w:tcW w:type="dxa" w:w="3360"/>
            <w:shd w:fill="D9EAF7"/>
            <w:vAlign w:val="center"/>
          </w:tcPr>
          <w:p>
            <w:pPr>
              <w:spacing w:after="0"/>
            </w:pPr>
            <w:r>
              <w:rPr>
                <w:sz w:val="18"/>
              </w:rPr>
            </w:r>
            <w:r>
              <w:rPr>
                <w:b/>
                <w:sz w:val="18"/>
              </w:rPr>
              <w:t>Database families</w:t>
            </w:r>
          </w:p>
        </w:tc>
        <w:tc>
          <w:tcPr>
            <w:tcW w:type="dxa" w:w="3360"/>
            <w:shd w:fill="D9EAF7"/>
            <w:vAlign w:val="center"/>
          </w:tcPr>
          <w:p>
            <w:pPr>
              <w:spacing w:after="0"/>
            </w:pPr>
            <w:r>
              <w:rPr>
                <w:sz w:val="18"/>
              </w:rPr>
            </w:r>
            <w:r>
              <w:rPr>
                <w:b/>
                <w:sz w:val="18"/>
              </w:rPr>
              <w:t>Function</w:t>
            </w:r>
          </w:p>
        </w:tc>
      </w:tr>
      <w:tr>
        <w:trPr>
          <w:cantSplit/>
        </w:trPr>
        <w:tc>
          <w:tcPr>
            <w:tcW w:type="dxa" w:w="3360"/>
            <w:vAlign w:val="top"/>
          </w:tcPr>
          <w:p>
            <w:pPr>
              <w:spacing w:after="0"/>
            </w:pPr>
            <w:r>
              <w:rPr>
                <w:sz w:val="18"/>
              </w:rPr>
            </w:r>
            <w:r>
              <w:rPr>
                <w:b w:val="0"/>
                <w:sz w:val="18"/>
              </w:rPr>
              <w:t>Policy intent</w:t>
            </w:r>
          </w:p>
        </w:tc>
        <w:tc>
          <w:tcPr>
            <w:tcW w:type="dxa" w:w="3360"/>
            <w:vAlign w:val="top"/>
          </w:tcPr>
          <w:p>
            <w:pPr>
              <w:spacing w:after="0"/>
            </w:pPr>
            <w:r>
              <w:rPr>
                <w:sz w:val="18"/>
              </w:rPr>
            </w:r>
            <w:r>
              <w:rPr>
                <w:b w:val="0"/>
                <w:sz w:val="18"/>
              </w:rPr>
              <w:t>policy_sets, policy_versions, policy_rules</w:t>
            </w:r>
          </w:p>
        </w:tc>
        <w:tc>
          <w:tcPr>
            <w:tcW w:type="dxa" w:w="3360"/>
            <w:vAlign w:val="top"/>
          </w:tcPr>
          <w:p>
            <w:pPr>
              <w:spacing w:after="0"/>
            </w:pPr>
            <w:r>
              <w:rPr>
                <w:sz w:val="18"/>
              </w:rPr>
            </w:r>
            <w:r>
              <w:rPr>
                <w:b w:val="0"/>
                <w:sz w:val="18"/>
              </w:rPr>
              <w:t>Defines what rules are in force and preserves the policy state.</w:t>
            </w:r>
          </w:p>
        </w:tc>
      </w:tr>
      <w:tr>
        <w:trPr>
          <w:cantSplit/>
        </w:trPr>
        <w:tc>
          <w:tcPr>
            <w:tcW w:type="dxa" w:w="3360"/>
            <w:vAlign w:val="top"/>
          </w:tcPr>
          <w:p>
            <w:pPr>
              <w:spacing w:after="0"/>
            </w:pPr>
            <w:r>
              <w:rPr>
                <w:sz w:val="18"/>
              </w:rPr>
            </w:r>
            <w:r>
              <w:rPr>
                <w:b w:val="0"/>
                <w:sz w:val="18"/>
              </w:rPr>
              <w:t>Rule evaluation</w:t>
            </w:r>
          </w:p>
        </w:tc>
        <w:tc>
          <w:tcPr>
            <w:tcW w:type="dxa" w:w="3360"/>
            <w:vAlign w:val="top"/>
          </w:tcPr>
          <w:p>
            <w:pPr>
              <w:spacing w:after="0"/>
            </w:pPr>
            <w:r>
              <w:rPr>
                <w:sz w:val="18"/>
              </w:rPr>
            </w:r>
            <w:r>
              <w:rPr>
                <w:b w:val="0"/>
                <w:sz w:val="18"/>
              </w:rPr>
              <w:t>policy_evaluations</w:t>
            </w:r>
          </w:p>
        </w:tc>
        <w:tc>
          <w:tcPr>
            <w:tcW w:type="dxa" w:w="3360"/>
            <w:vAlign w:val="top"/>
          </w:tcPr>
          <w:p>
            <w:pPr>
              <w:spacing w:after="0"/>
            </w:pPr>
            <w:r>
              <w:rPr>
                <w:sz w:val="18"/>
              </w:rPr>
            </w:r>
            <w:r>
              <w:rPr>
                <w:b w:val="0"/>
                <w:sz w:val="18"/>
              </w:rPr>
              <w:t>Records individual rule results and the data used to support them.</w:t>
            </w:r>
          </w:p>
        </w:tc>
      </w:tr>
      <w:tr>
        <w:trPr>
          <w:cantSplit/>
        </w:trPr>
        <w:tc>
          <w:tcPr>
            <w:tcW w:type="dxa" w:w="3360"/>
            <w:vAlign w:val="top"/>
          </w:tcPr>
          <w:p>
            <w:pPr>
              <w:spacing w:after="0"/>
            </w:pPr>
            <w:r>
              <w:rPr>
                <w:sz w:val="18"/>
              </w:rPr>
            </w:r>
            <w:r>
              <w:rPr>
                <w:b w:val="0"/>
                <w:sz w:val="18"/>
              </w:rPr>
              <w:t>Gate enforcement</w:t>
            </w:r>
          </w:p>
        </w:tc>
        <w:tc>
          <w:tcPr>
            <w:tcW w:type="dxa" w:w="3360"/>
            <w:vAlign w:val="top"/>
          </w:tcPr>
          <w:p>
            <w:pPr>
              <w:spacing w:after="0"/>
            </w:pPr>
            <w:r>
              <w:rPr>
                <w:sz w:val="18"/>
              </w:rPr>
            </w:r>
            <w:r>
              <w:rPr>
                <w:b w:val="0"/>
                <w:sz w:val="18"/>
              </w:rPr>
              <w:t>gate_definitions, gate_evaluations</w:t>
            </w:r>
          </w:p>
        </w:tc>
        <w:tc>
          <w:tcPr>
            <w:tcW w:type="dxa" w:w="3360"/>
            <w:vAlign w:val="top"/>
          </w:tcPr>
          <w:p>
            <w:pPr>
              <w:spacing w:after="0"/>
            </w:pPr>
            <w:r>
              <w:rPr>
                <w:sz w:val="18"/>
              </w:rPr>
            </w:r>
            <w:r>
              <w:rPr>
                <w:b w:val="0"/>
                <w:sz w:val="18"/>
              </w:rPr>
              <w:t>Aggregates policy logic into approve, deny, escalate, or inspect outcomes.</w:t>
            </w:r>
          </w:p>
        </w:tc>
      </w:tr>
      <w:tr>
        <w:trPr>
          <w:cantSplit/>
        </w:trPr>
        <w:tc>
          <w:tcPr>
            <w:tcW w:type="dxa" w:w="3360"/>
            <w:vAlign w:val="top"/>
          </w:tcPr>
          <w:p>
            <w:pPr>
              <w:spacing w:after="0"/>
            </w:pPr>
            <w:r>
              <w:rPr>
                <w:sz w:val="18"/>
              </w:rPr>
            </w:r>
            <w:r>
              <w:rPr>
                <w:b w:val="0"/>
                <w:sz w:val="18"/>
              </w:rPr>
              <w:t>Lifecycle objects</w:t>
            </w:r>
          </w:p>
        </w:tc>
        <w:tc>
          <w:tcPr>
            <w:tcW w:type="dxa" w:w="3360"/>
            <w:vAlign w:val="top"/>
          </w:tcPr>
          <w:p>
            <w:pPr>
              <w:spacing w:after="0"/>
            </w:pPr>
            <w:r>
              <w:rPr>
                <w:sz w:val="18"/>
              </w:rPr>
            </w:r>
            <w:r>
              <w:rPr>
                <w:b w:val="0"/>
                <w:sz w:val="18"/>
              </w:rPr>
              <w:t>ai_lifecycle_objects, ai_lifecycle_object_links</w:t>
            </w:r>
          </w:p>
        </w:tc>
        <w:tc>
          <w:tcPr>
            <w:tcW w:type="dxa" w:w="3360"/>
            <w:vAlign w:val="top"/>
          </w:tcPr>
          <w:p>
            <w:pPr>
              <w:spacing w:after="0"/>
            </w:pPr>
            <w:r>
              <w:rPr>
                <w:sz w:val="18"/>
              </w:rPr>
            </w:r>
            <w:r>
              <w:rPr>
                <w:b w:val="0"/>
                <w:sz w:val="18"/>
              </w:rPr>
              <w:t>Registers governed datasets, models, artifacts, workflows, and lineage links.</w:t>
            </w:r>
          </w:p>
        </w:tc>
      </w:tr>
      <w:tr>
        <w:trPr>
          <w:cantSplit/>
        </w:trPr>
        <w:tc>
          <w:tcPr>
            <w:tcW w:type="dxa" w:w="3360"/>
            <w:vAlign w:val="top"/>
          </w:tcPr>
          <w:p>
            <w:pPr>
              <w:spacing w:after="0"/>
            </w:pPr>
            <w:r>
              <w:rPr>
                <w:sz w:val="18"/>
              </w:rPr>
            </w:r>
            <w:r>
              <w:rPr>
                <w:b w:val="0"/>
                <w:sz w:val="18"/>
              </w:rPr>
              <w:t>Receipts</w:t>
            </w:r>
          </w:p>
        </w:tc>
        <w:tc>
          <w:tcPr>
            <w:tcW w:type="dxa" w:w="3360"/>
            <w:vAlign w:val="top"/>
          </w:tcPr>
          <w:p>
            <w:pPr>
              <w:spacing w:after="0"/>
            </w:pPr>
            <w:r>
              <w:rPr>
                <w:sz w:val="18"/>
              </w:rPr>
            </w:r>
            <w:r>
              <w:rPr>
                <w:b w:val="0"/>
                <w:sz w:val="18"/>
              </w:rPr>
              <w:t>receipts, receipt_links, receipt_batches, receipt_batch_items</w:t>
            </w:r>
          </w:p>
        </w:tc>
        <w:tc>
          <w:tcPr>
            <w:tcW w:type="dxa" w:w="3360"/>
            <w:vAlign w:val="top"/>
          </w:tcPr>
          <w:p>
            <w:pPr>
              <w:spacing w:after="0"/>
            </w:pPr>
            <w:r>
              <w:rPr>
                <w:sz w:val="18"/>
              </w:rPr>
            </w:r>
            <w:r>
              <w:rPr>
                <w:b w:val="0"/>
                <w:sz w:val="18"/>
              </w:rPr>
              <w:t>Creates atomic evidence records, chains them, and batches them for verification.</w:t>
            </w:r>
          </w:p>
        </w:tc>
      </w:tr>
      <w:tr>
        <w:trPr>
          <w:cantSplit/>
        </w:trPr>
        <w:tc>
          <w:tcPr>
            <w:tcW w:type="dxa" w:w="3360"/>
            <w:vAlign w:val="top"/>
          </w:tcPr>
          <w:p>
            <w:pPr>
              <w:spacing w:after="0"/>
            </w:pPr>
            <w:r>
              <w:rPr>
                <w:sz w:val="18"/>
              </w:rPr>
            </w:r>
            <w:r>
              <w:rPr>
                <w:b w:val="0"/>
                <w:sz w:val="18"/>
              </w:rPr>
              <w:t>Evidence payloads</w:t>
            </w:r>
          </w:p>
        </w:tc>
        <w:tc>
          <w:tcPr>
            <w:tcW w:type="dxa" w:w="3360"/>
            <w:vAlign w:val="top"/>
          </w:tcPr>
          <w:p>
            <w:pPr>
              <w:spacing w:after="0"/>
            </w:pPr>
            <w:r>
              <w:rPr>
                <w:sz w:val="18"/>
              </w:rPr>
            </w:r>
            <w:r>
              <w:rPr>
                <w:b w:val="0"/>
                <w:sz w:val="18"/>
              </w:rPr>
              <w:t>evidence_objects</w:t>
            </w:r>
          </w:p>
        </w:tc>
        <w:tc>
          <w:tcPr>
            <w:tcW w:type="dxa" w:w="3360"/>
            <w:vAlign w:val="top"/>
          </w:tcPr>
          <w:p>
            <w:pPr>
              <w:spacing w:after="0"/>
            </w:pPr>
            <w:r>
              <w:rPr>
                <w:sz w:val="18"/>
              </w:rPr>
            </w:r>
            <w:r>
              <w:rPr>
                <w:b w:val="0"/>
                <w:sz w:val="18"/>
              </w:rPr>
              <w:t>Stores structured proof-bearing payloads and references to larger artifacts.</w:t>
            </w:r>
          </w:p>
        </w:tc>
      </w:tr>
      <w:tr>
        <w:trPr>
          <w:cantSplit/>
        </w:trPr>
        <w:tc>
          <w:tcPr>
            <w:tcW w:type="dxa" w:w="3360"/>
            <w:vAlign w:val="top"/>
          </w:tcPr>
          <w:p>
            <w:pPr>
              <w:spacing w:after="0"/>
            </w:pPr>
            <w:r>
              <w:rPr>
                <w:sz w:val="18"/>
              </w:rPr>
            </w:r>
            <w:r>
              <w:rPr>
                <w:b w:val="0"/>
                <w:sz w:val="18"/>
              </w:rPr>
              <w:t>Vault custody</w:t>
            </w:r>
          </w:p>
        </w:tc>
        <w:tc>
          <w:tcPr>
            <w:tcW w:type="dxa" w:w="3360"/>
            <w:vAlign w:val="top"/>
          </w:tcPr>
          <w:p>
            <w:pPr>
              <w:spacing w:after="0"/>
            </w:pPr>
            <w:r>
              <w:rPr>
                <w:sz w:val="18"/>
              </w:rPr>
            </w:r>
            <w:r>
              <w:rPr>
                <w:b w:val="0"/>
                <w:sz w:val="18"/>
              </w:rPr>
              <w:t>vault_objects, verification_jobs</w:t>
            </w:r>
          </w:p>
        </w:tc>
        <w:tc>
          <w:tcPr>
            <w:tcW w:type="dxa" w:w="3360"/>
            <w:vAlign w:val="top"/>
          </w:tcPr>
          <w:p>
            <w:pPr>
              <w:spacing w:after="0"/>
            </w:pPr>
            <w:r>
              <w:rPr>
                <w:sz w:val="18"/>
              </w:rPr>
            </w:r>
            <w:r>
              <w:rPr>
                <w:b w:val="0"/>
                <w:sz w:val="18"/>
              </w:rPr>
              <w:t>Seals evidence, preserves custody, and verifies integrity over time.</w:t>
            </w:r>
          </w:p>
        </w:tc>
      </w:tr>
      <w:tr>
        <w:trPr>
          <w:cantSplit/>
        </w:trPr>
        <w:tc>
          <w:tcPr>
            <w:tcW w:type="dxa" w:w="3360"/>
            <w:vAlign w:val="top"/>
          </w:tcPr>
          <w:p>
            <w:pPr>
              <w:spacing w:after="0"/>
            </w:pPr>
            <w:r>
              <w:rPr>
                <w:sz w:val="18"/>
              </w:rPr>
            </w:r>
            <w:r>
              <w:rPr>
                <w:b w:val="0"/>
                <w:sz w:val="18"/>
              </w:rPr>
              <w:t>Audit export</w:t>
            </w:r>
          </w:p>
        </w:tc>
        <w:tc>
          <w:tcPr>
            <w:tcW w:type="dxa" w:w="3360"/>
            <w:vAlign w:val="top"/>
          </w:tcPr>
          <w:p>
            <w:pPr>
              <w:spacing w:after="0"/>
            </w:pPr>
            <w:r>
              <w:rPr>
                <w:sz w:val="18"/>
              </w:rPr>
            </w:r>
            <w:r>
              <w:rPr>
                <w:b w:val="0"/>
                <w:sz w:val="18"/>
              </w:rPr>
              <w:t>audit_packs, audit_pack_items</w:t>
            </w:r>
          </w:p>
        </w:tc>
        <w:tc>
          <w:tcPr>
            <w:tcW w:type="dxa" w:w="3360"/>
            <w:vAlign w:val="top"/>
          </w:tcPr>
          <w:p>
            <w:pPr>
              <w:spacing w:after="0"/>
            </w:pPr>
            <w:r>
              <w:rPr>
                <w:sz w:val="18"/>
              </w:rPr>
            </w:r>
            <w:r>
              <w:rPr>
                <w:b w:val="0"/>
                <w:sz w:val="18"/>
              </w:rPr>
              <w:t>Materializes inspection-ready evidence bundles.</w:t>
            </w:r>
          </w:p>
        </w:tc>
      </w:tr>
    </w:tbl>
    <w:p/>
    <w:p>
      <w:r>
        <w:t>The extension layers are what make the architecture broader than a model-lifecycle receipt system. Agent governance captures delegated action. Shadow AI extends the perimeter to unmanaged use. Artifact provenance extends accountability after outputs leave the runtime environment. Privacy and rights tables make lawful basis, DSRs, erasure, redaction, retention, and legal holds part of the evidence graph.</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pPr>
              <w:spacing w:after="0"/>
            </w:pPr>
            <w:r>
              <w:rPr>
                <w:sz w:val="18"/>
              </w:rPr>
            </w:r>
            <w:r>
              <w:rPr>
                <w:b/>
                <w:sz w:val="18"/>
              </w:rPr>
              <w:t>Extension layer</w:t>
            </w:r>
          </w:p>
        </w:tc>
        <w:tc>
          <w:tcPr>
            <w:tcW w:type="dxa" w:w="3360"/>
            <w:shd w:fill="D9EAF7"/>
            <w:vAlign w:val="center"/>
          </w:tcPr>
          <w:p>
            <w:pPr>
              <w:spacing w:after="0"/>
            </w:pPr>
            <w:r>
              <w:rPr>
                <w:sz w:val="18"/>
              </w:rPr>
            </w:r>
            <w:r>
              <w:rPr>
                <w:b/>
                <w:sz w:val="18"/>
              </w:rPr>
              <w:t>Database families</w:t>
            </w:r>
          </w:p>
        </w:tc>
        <w:tc>
          <w:tcPr>
            <w:tcW w:type="dxa" w:w="3360"/>
            <w:shd w:fill="D9EAF7"/>
            <w:vAlign w:val="center"/>
          </w:tcPr>
          <w:p>
            <w:pPr>
              <w:spacing w:after="0"/>
            </w:pPr>
            <w:r>
              <w:rPr>
                <w:sz w:val="18"/>
              </w:rPr>
            </w:r>
            <w:r>
              <w:rPr>
                <w:b/>
                <w:sz w:val="18"/>
              </w:rPr>
              <w:t>Function</w:t>
            </w:r>
          </w:p>
        </w:tc>
      </w:tr>
      <w:tr>
        <w:trPr>
          <w:cantSplit/>
        </w:trPr>
        <w:tc>
          <w:tcPr>
            <w:tcW w:type="dxa" w:w="3360"/>
            <w:vAlign w:val="top"/>
          </w:tcPr>
          <w:p>
            <w:pPr>
              <w:spacing w:after="0"/>
            </w:pPr>
            <w:r>
              <w:rPr>
                <w:sz w:val="18"/>
              </w:rPr>
            </w:r>
            <w:r>
              <w:rPr>
                <w:b w:val="0"/>
                <w:sz w:val="18"/>
              </w:rPr>
              <w:t>Agent runtime</w:t>
            </w:r>
          </w:p>
        </w:tc>
        <w:tc>
          <w:tcPr>
            <w:tcW w:type="dxa" w:w="3360"/>
            <w:vAlign w:val="top"/>
          </w:tcPr>
          <w:p>
            <w:pPr>
              <w:spacing w:after="0"/>
            </w:pPr>
            <w:r>
              <w:rPr>
                <w:sz w:val="18"/>
              </w:rPr>
            </w:r>
            <w:r>
              <w:rPr>
                <w:b w:val="0"/>
                <w:sz w:val="18"/>
              </w:rPr>
              <w:t>agent_sessions, agent_delegations, pre_action_proof_bundles, agent_tool_invocations</w:t>
            </w:r>
          </w:p>
        </w:tc>
        <w:tc>
          <w:tcPr>
            <w:tcW w:type="dxa" w:w="3360"/>
            <w:vAlign w:val="top"/>
          </w:tcPr>
          <w:p>
            <w:pPr>
              <w:spacing w:after="0"/>
            </w:pPr>
            <w:r>
              <w:rPr>
                <w:sz w:val="18"/>
              </w:rPr>
            </w:r>
            <w:r>
              <w:rPr>
                <w:b w:val="0"/>
                <w:sz w:val="18"/>
              </w:rPr>
              <w:t>Binds agent action to identity, delegation, policy, privilege, and proof.</w:t>
            </w:r>
          </w:p>
        </w:tc>
      </w:tr>
      <w:tr>
        <w:trPr>
          <w:cantSplit/>
        </w:trPr>
        <w:tc>
          <w:tcPr>
            <w:tcW w:type="dxa" w:w="3360"/>
            <w:vAlign w:val="top"/>
          </w:tcPr>
          <w:p>
            <w:pPr>
              <w:spacing w:after="0"/>
            </w:pPr>
            <w:r>
              <w:rPr>
                <w:sz w:val="18"/>
              </w:rPr>
            </w:r>
            <w:r>
              <w:rPr>
                <w:b w:val="0"/>
                <w:sz w:val="18"/>
              </w:rPr>
              <w:t>Shadow AI</w:t>
            </w:r>
          </w:p>
        </w:tc>
        <w:tc>
          <w:tcPr>
            <w:tcW w:type="dxa" w:w="3360"/>
            <w:vAlign w:val="top"/>
          </w:tcPr>
          <w:p>
            <w:pPr>
              <w:spacing w:after="0"/>
            </w:pPr>
            <w:r>
              <w:rPr>
                <w:sz w:val="18"/>
              </w:rPr>
            </w:r>
            <w:r>
              <w:rPr>
                <w:b w:val="0"/>
                <w:sz w:val="18"/>
              </w:rPr>
              <w:t>shadow_ai_tool_registry, shadow_ai_discovery_records, shadow_ai_classifications, shadow_ai_governance_responses</w:t>
            </w:r>
          </w:p>
        </w:tc>
        <w:tc>
          <w:tcPr>
            <w:tcW w:type="dxa" w:w="3360"/>
            <w:vAlign w:val="top"/>
          </w:tcPr>
          <w:p>
            <w:pPr>
              <w:spacing w:after="0"/>
            </w:pPr>
            <w:r>
              <w:rPr>
                <w:sz w:val="18"/>
              </w:rPr>
            </w:r>
            <w:r>
              <w:rPr>
                <w:b w:val="0"/>
                <w:sz w:val="18"/>
              </w:rPr>
              <w:t>Extends evidence capture into unmanaged AI use.</w:t>
            </w:r>
          </w:p>
        </w:tc>
      </w:tr>
      <w:tr>
        <w:trPr>
          <w:cantSplit/>
        </w:trPr>
        <w:tc>
          <w:tcPr>
            <w:tcW w:type="dxa" w:w="3360"/>
            <w:vAlign w:val="top"/>
          </w:tcPr>
          <w:p>
            <w:pPr>
              <w:spacing w:after="0"/>
            </w:pPr>
            <w:r>
              <w:rPr>
                <w:sz w:val="18"/>
              </w:rPr>
            </w:r>
            <w:r>
              <w:rPr>
                <w:b w:val="0"/>
                <w:sz w:val="18"/>
              </w:rPr>
              <w:t>Artifact provenance</w:t>
            </w:r>
          </w:p>
        </w:tc>
        <w:tc>
          <w:tcPr>
            <w:tcW w:type="dxa" w:w="3360"/>
            <w:vAlign w:val="top"/>
          </w:tcPr>
          <w:p>
            <w:pPr>
              <w:spacing w:after="0"/>
            </w:pPr>
            <w:r>
              <w:rPr>
                <w:sz w:val="18"/>
              </w:rPr>
            </w:r>
            <w:r>
              <w:rPr>
                <w:b w:val="0"/>
                <w:sz w:val="18"/>
              </w:rPr>
              <w:t>artifact_release_records, forensic_fingerprints, provenance_verification_records</w:t>
            </w:r>
          </w:p>
        </w:tc>
        <w:tc>
          <w:tcPr>
            <w:tcW w:type="dxa" w:w="3360"/>
            <w:vAlign w:val="top"/>
          </w:tcPr>
          <w:p>
            <w:pPr>
              <w:spacing w:after="0"/>
            </w:pPr>
            <w:r>
              <w:rPr>
                <w:sz w:val="18"/>
              </w:rPr>
            </w:r>
            <w:r>
              <w:rPr>
                <w:b w:val="0"/>
                <w:sz w:val="18"/>
              </w:rPr>
              <w:t>Links generated artifacts to release records and later verification claims.</w:t>
            </w:r>
          </w:p>
        </w:tc>
      </w:tr>
      <w:tr>
        <w:trPr>
          <w:cantSplit/>
        </w:trPr>
        <w:tc>
          <w:tcPr>
            <w:tcW w:type="dxa" w:w="3360"/>
            <w:vAlign w:val="top"/>
          </w:tcPr>
          <w:p>
            <w:pPr>
              <w:spacing w:after="0"/>
            </w:pPr>
            <w:r>
              <w:rPr>
                <w:sz w:val="18"/>
              </w:rPr>
            </w:r>
            <w:r>
              <w:rPr>
                <w:b w:val="0"/>
                <w:sz w:val="18"/>
              </w:rPr>
              <w:t>Privacy and rights</w:t>
            </w:r>
          </w:p>
        </w:tc>
        <w:tc>
          <w:tcPr>
            <w:tcW w:type="dxa" w:w="3360"/>
            <w:vAlign w:val="top"/>
          </w:tcPr>
          <w:p>
            <w:pPr>
              <w:spacing w:after="0"/>
            </w:pPr>
            <w:r>
              <w:rPr>
                <w:sz w:val="18"/>
              </w:rPr>
            </w:r>
            <w:r>
              <w:rPr>
                <w:b w:val="0"/>
                <w:sz w:val="18"/>
              </w:rPr>
              <w:t>processing_activities, lawful_basis_records, consent_records, data_subject_requests, personal_data_references, privacy_redaction_events, legal_holds</w:t>
            </w:r>
          </w:p>
        </w:tc>
        <w:tc>
          <w:tcPr>
            <w:tcW w:type="dxa" w:w="3360"/>
            <w:vAlign w:val="top"/>
          </w:tcPr>
          <w:p>
            <w:pPr>
              <w:spacing w:after="0"/>
            </w:pPr>
            <w:r>
              <w:rPr>
                <w:sz w:val="18"/>
              </w:rPr>
            </w:r>
            <w:r>
              <w:rPr>
                <w:b w:val="0"/>
                <w:sz w:val="18"/>
              </w:rPr>
              <w:t>Makes privacy rights, lawful basis, redaction, retention, and holds evidence-bearing governance events.</w:t>
            </w:r>
          </w:p>
        </w:tc>
      </w:tr>
    </w:tbl>
    <w:p/>
    <w:p>
      <w:pPr>
        <w:pStyle w:val="Heading1"/>
      </w:pPr>
      <w:r>
        <w:t>4. Canonical Operating Flow</w:t>
      </w:r>
    </w:p>
    <w:p>
      <w:r>
        <w:t>1. Define governance policy as a policy_set and publish an immutable policy_version.</w:t>
      </w:r>
    </w:p>
    <w:p>
      <w:r>
        <w:t>2. Extract or author policy_rules that express conditions, thresholds, required approvals, exceptions, and evidence requirements.</w:t>
      </w:r>
    </w:p>
    <w:p>
      <w:r>
        <w:t>3. Create gate_definitions that reference the policy version and declare evaluation mode, required/active status, and failure action.</w:t>
      </w:r>
    </w:p>
    <w:p>
      <w:r>
        <w:t>4. Register governed datasets, models, artifacts, workflows, or releases as ai_lifecycle_objects.</w:t>
      </w:r>
    </w:p>
    <w:p>
      <w:r>
        <w:t>5. Capture a lifecycle event through an API client, internal workflow, agent session, shadow AI signal, provenance release, or privacy operation.</w:t>
      </w:r>
    </w:p>
    <w:p>
      <w:r>
        <w:t>6. Run policy_evaluations for the applicable rules and preserve each result with evaluation hash metadata.</w:t>
      </w:r>
    </w:p>
    <w:p>
      <w:r>
        <w:t>7. Aggregate rule results into a gate_evaluation with outcome: approve, deny, escalate, or inspect.</w:t>
      </w:r>
    </w:p>
    <w:p>
      <w:r>
        <w:t>8. Create a receipt that binds the event, resource, policy version, gate evaluation, content hash, canonicalization version, signature metadata, and lifecycle stage.</w:t>
      </w:r>
    </w:p>
    <w:p>
      <w:r>
        <w:t>9. Store larger or richer proof payloads in evidence_objects and link them to receipts.</w:t>
      </w:r>
    </w:p>
    <w:p>
      <w:r>
        <w:t>10. Seal selected evidence into vault_objects, optionally batch receipts through receipt_batches and receipt_batch_items, and preserve lineage through receipt_links.</w:t>
      </w:r>
    </w:p>
    <w:p>
      <w:r>
        <w:t>11. When inspection is required, assemble audit_packs and audit_pack_items; then run verification_jobs to prove integrity, completeness, and chain consistency.</w:t>
      </w:r>
    </w:p>
    <w:p>
      <w:pPr>
        <w:pStyle w:val="Heading1"/>
      </w:pPr>
      <w:r>
        <w:t>5. Evidence Object Types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pPr>
              <w:spacing w:after="0"/>
            </w:pPr>
            <w:r>
              <w:rPr>
                <w:sz w:val="18"/>
              </w:rPr>
            </w:r>
            <w:r>
              <w:rPr>
                <w:b/>
                <w:sz w:val="18"/>
              </w:rPr>
              <w:t>Object</w:t>
            </w:r>
          </w:p>
        </w:tc>
        <w:tc>
          <w:tcPr>
            <w:tcW w:type="dxa" w:w="3360"/>
            <w:shd w:fill="D9EAF7"/>
            <w:vAlign w:val="center"/>
          </w:tcPr>
          <w:p>
            <w:pPr>
              <w:spacing w:after="0"/>
            </w:pPr>
            <w:r>
              <w:rPr>
                <w:sz w:val="18"/>
              </w:rPr>
            </w:r>
            <w:r>
              <w:rPr>
                <w:b/>
                <w:sz w:val="18"/>
              </w:rPr>
              <w:t>Purpose</w:t>
            </w:r>
          </w:p>
        </w:tc>
        <w:tc>
          <w:tcPr>
            <w:tcW w:type="dxa" w:w="3360"/>
            <w:shd w:fill="D9EAF7"/>
            <w:vAlign w:val="center"/>
          </w:tcPr>
          <w:p>
            <w:pPr>
              <w:spacing w:after="0"/>
            </w:pPr>
            <w:r>
              <w:rPr>
                <w:sz w:val="18"/>
              </w:rPr>
            </w:r>
            <w:r>
              <w:rPr>
                <w:b/>
                <w:sz w:val="18"/>
              </w:rPr>
              <w:t>Minimum verification content</w:t>
            </w:r>
          </w:p>
        </w:tc>
      </w:tr>
      <w:tr>
        <w:trPr>
          <w:cantSplit/>
        </w:trPr>
        <w:tc>
          <w:tcPr>
            <w:tcW w:type="dxa" w:w="3360"/>
            <w:vAlign w:val="top"/>
          </w:tcPr>
          <w:p>
            <w:pPr>
              <w:spacing w:after="0"/>
            </w:pPr>
            <w:r>
              <w:rPr>
                <w:sz w:val="18"/>
              </w:rPr>
            </w:r>
            <w:r>
              <w:rPr>
                <w:b w:val="0"/>
                <w:sz w:val="18"/>
              </w:rPr>
              <w:t>Policy version</w:t>
            </w:r>
          </w:p>
        </w:tc>
        <w:tc>
          <w:tcPr>
            <w:tcW w:type="dxa" w:w="3360"/>
            <w:vAlign w:val="top"/>
          </w:tcPr>
          <w:p>
            <w:pPr>
              <w:spacing w:after="0"/>
            </w:pPr>
            <w:r>
              <w:rPr>
                <w:sz w:val="18"/>
              </w:rPr>
            </w:r>
            <w:r>
              <w:rPr>
                <w:b w:val="0"/>
                <w:sz w:val="18"/>
              </w:rPr>
              <w:t>Preserves the governing policy state in force at the time of evaluation.</w:t>
            </w:r>
          </w:p>
        </w:tc>
        <w:tc>
          <w:tcPr>
            <w:tcW w:type="dxa" w:w="3360"/>
            <w:vAlign w:val="top"/>
          </w:tcPr>
          <w:p>
            <w:pPr>
              <w:spacing w:after="0"/>
            </w:pPr>
            <w:r>
              <w:rPr>
                <w:sz w:val="18"/>
              </w:rPr>
            </w:r>
            <w:r>
              <w:rPr>
                <w:b w:val="0"/>
                <w:sz w:val="18"/>
              </w:rPr>
              <w:t>payload_hash, hash_algorithm, canonicalization_version, previous_version_id, publication state.</w:t>
            </w:r>
          </w:p>
        </w:tc>
      </w:tr>
      <w:tr>
        <w:trPr>
          <w:cantSplit/>
        </w:trPr>
        <w:tc>
          <w:tcPr>
            <w:tcW w:type="dxa" w:w="3360"/>
            <w:vAlign w:val="top"/>
          </w:tcPr>
          <w:p>
            <w:pPr>
              <w:spacing w:after="0"/>
            </w:pPr>
            <w:r>
              <w:rPr>
                <w:sz w:val="18"/>
              </w:rPr>
            </w:r>
            <w:r>
              <w:rPr>
                <w:b w:val="0"/>
                <w:sz w:val="18"/>
              </w:rPr>
              <w:t>Policy evaluation</w:t>
            </w:r>
          </w:p>
        </w:tc>
        <w:tc>
          <w:tcPr>
            <w:tcW w:type="dxa" w:w="3360"/>
            <w:vAlign w:val="top"/>
          </w:tcPr>
          <w:p>
            <w:pPr>
              <w:spacing w:after="0"/>
            </w:pPr>
            <w:r>
              <w:rPr>
                <w:sz w:val="18"/>
              </w:rPr>
            </w:r>
            <w:r>
              <w:rPr>
                <w:b w:val="0"/>
                <w:sz w:val="18"/>
              </w:rPr>
              <w:t>Records an individual rule result.</w:t>
            </w:r>
          </w:p>
        </w:tc>
        <w:tc>
          <w:tcPr>
            <w:tcW w:type="dxa" w:w="3360"/>
            <w:vAlign w:val="top"/>
          </w:tcPr>
          <w:p>
            <w:pPr>
              <w:spacing w:after="0"/>
            </w:pPr>
            <w:r>
              <w:rPr>
                <w:sz w:val="18"/>
              </w:rPr>
            </w:r>
            <w:r>
              <w:rPr>
                <w:b w:val="0"/>
                <w:sz w:val="18"/>
              </w:rPr>
              <w:t>policy_version_id, policy_rule_id, rule status, rule payload, evaluation_hash.</w:t>
            </w:r>
          </w:p>
        </w:tc>
      </w:tr>
      <w:tr>
        <w:trPr>
          <w:cantSplit/>
        </w:trPr>
        <w:tc>
          <w:tcPr>
            <w:tcW w:type="dxa" w:w="3360"/>
            <w:vAlign w:val="top"/>
          </w:tcPr>
          <w:p>
            <w:pPr>
              <w:spacing w:after="0"/>
            </w:pPr>
            <w:r>
              <w:rPr>
                <w:sz w:val="18"/>
              </w:rPr>
            </w:r>
            <w:r>
              <w:rPr>
                <w:b w:val="0"/>
                <w:sz w:val="18"/>
              </w:rPr>
              <w:t>Gate evaluation</w:t>
            </w:r>
          </w:p>
        </w:tc>
        <w:tc>
          <w:tcPr>
            <w:tcW w:type="dxa" w:w="3360"/>
            <w:vAlign w:val="top"/>
          </w:tcPr>
          <w:p>
            <w:pPr>
              <w:spacing w:after="0"/>
            </w:pPr>
            <w:r>
              <w:rPr>
                <w:sz w:val="18"/>
              </w:rPr>
            </w:r>
            <w:r>
              <w:rPr>
                <w:b w:val="0"/>
                <w:sz w:val="18"/>
              </w:rPr>
              <w:t>Records the enforceable control outcome.</w:t>
            </w:r>
          </w:p>
        </w:tc>
        <w:tc>
          <w:tcPr>
            <w:tcW w:type="dxa" w:w="3360"/>
            <w:vAlign w:val="top"/>
          </w:tcPr>
          <w:p>
            <w:pPr>
              <w:spacing w:after="0"/>
            </w:pPr>
            <w:r>
              <w:rPr>
                <w:sz w:val="18"/>
              </w:rPr>
            </w:r>
            <w:r>
              <w:rPr>
                <w:b w:val="0"/>
                <w:sz w:val="18"/>
              </w:rPr>
              <w:t>gate_definition_id, evaluated resource, status, outcome, rule counts, override fields, evaluation_hash.</w:t>
            </w:r>
          </w:p>
        </w:tc>
      </w:tr>
      <w:tr>
        <w:trPr>
          <w:cantSplit/>
        </w:trPr>
        <w:tc>
          <w:tcPr>
            <w:tcW w:type="dxa" w:w="3360"/>
            <w:vAlign w:val="top"/>
          </w:tcPr>
          <w:p>
            <w:pPr>
              <w:spacing w:after="0"/>
            </w:pPr>
            <w:r>
              <w:rPr>
                <w:sz w:val="18"/>
              </w:rPr>
            </w:r>
            <w:r>
              <w:rPr>
                <w:b w:val="0"/>
                <w:sz w:val="18"/>
              </w:rPr>
              <w:t>Receipt</w:t>
            </w:r>
          </w:p>
        </w:tc>
        <w:tc>
          <w:tcPr>
            <w:tcW w:type="dxa" w:w="3360"/>
            <w:vAlign w:val="top"/>
          </w:tcPr>
          <w:p>
            <w:pPr>
              <w:spacing w:after="0"/>
            </w:pPr>
            <w:r>
              <w:rPr>
                <w:sz w:val="18"/>
              </w:rPr>
            </w:r>
            <w:r>
              <w:rPr>
                <w:b w:val="0"/>
                <w:sz w:val="18"/>
              </w:rPr>
              <w:t>Atomic evidence record for lifecycle, decision, action, denial, escalation, or verification event.</w:t>
            </w:r>
          </w:p>
        </w:tc>
        <w:tc>
          <w:tcPr>
            <w:tcW w:type="dxa" w:w="3360"/>
            <w:vAlign w:val="top"/>
          </w:tcPr>
          <w:p>
            <w:pPr>
              <w:spacing w:after="0"/>
            </w:pPr>
            <w:r>
              <w:rPr>
                <w:sz w:val="18"/>
              </w:rPr>
            </w:r>
            <w:r>
              <w:rPr>
                <w:b w:val="0"/>
                <w:sz w:val="18"/>
              </w:rPr>
              <w:t>receipt_type, receipt_payload, content_hash, hash_algorithm, canonicalization_version, signature metadata, policy/gate references.</w:t>
            </w:r>
          </w:p>
        </w:tc>
      </w:tr>
      <w:tr>
        <w:trPr>
          <w:cantSplit/>
        </w:trPr>
        <w:tc>
          <w:tcPr>
            <w:tcW w:type="dxa" w:w="3360"/>
            <w:vAlign w:val="top"/>
          </w:tcPr>
          <w:p>
            <w:pPr>
              <w:spacing w:after="0"/>
            </w:pPr>
            <w:r>
              <w:rPr>
                <w:sz w:val="18"/>
              </w:rPr>
            </w:r>
            <w:r>
              <w:rPr>
                <w:b w:val="0"/>
                <w:sz w:val="18"/>
              </w:rPr>
              <w:t>Evidence object</w:t>
            </w:r>
          </w:p>
        </w:tc>
        <w:tc>
          <w:tcPr>
            <w:tcW w:type="dxa" w:w="3360"/>
            <w:vAlign w:val="top"/>
          </w:tcPr>
          <w:p>
            <w:pPr>
              <w:spacing w:after="0"/>
            </w:pPr>
            <w:r>
              <w:rPr>
                <w:sz w:val="18"/>
              </w:rPr>
            </w:r>
            <w:r>
              <w:rPr>
                <w:b w:val="0"/>
                <w:sz w:val="18"/>
              </w:rPr>
              <w:t>Structured payload or pointer to supporting artifacts.</w:t>
            </w:r>
          </w:p>
        </w:tc>
        <w:tc>
          <w:tcPr>
            <w:tcW w:type="dxa" w:w="3360"/>
            <w:vAlign w:val="top"/>
          </w:tcPr>
          <w:p>
            <w:pPr>
              <w:spacing w:after="0"/>
            </w:pPr>
            <w:r>
              <w:rPr>
                <w:sz w:val="18"/>
              </w:rPr>
            </w:r>
            <w:r>
              <w:rPr>
                <w:b w:val="0"/>
                <w:sz w:val="18"/>
              </w:rPr>
              <w:t>evidence_type, payload, content_hash, schema_version_id, storage references.</w:t>
            </w:r>
          </w:p>
        </w:tc>
      </w:tr>
      <w:tr>
        <w:trPr>
          <w:cantSplit/>
        </w:trPr>
        <w:tc>
          <w:tcPr>
            <w:tcW w:type="dxa" w:w="3360"/>
            <w:vAlign w:val="top"/>
          </w:tcPr>
          <w:p>
            <w:pPr>
              <w:spacing w:after="0"/>
            </w:pPr>
            <w:r>
              <w:rPr>
                <w:sz w:val="18"/>
              </w:rPr>
            </w:r>
            <w:r>
              <w:rPr>
                <w:b w:val="0"/>
                <w:sz w:val="18"/>
              </w:rPr>
              <w:t>Vault object</w:t>
            </w:r>
          </w:p>
        </w:tc>
        <w:tc>
          <w:tcPr>
            <w:tcW w:type="dxa" w:w="3360"/>
            <w:vAlign w:val="top"/>
          </w:tcPr>
          <w:p>
            <w:pPr>
              <w:spacing w:after="0"/>
            </w:pPr>
            <w:r>
              <w:rPr>
                <w:sz w:val="18"/>
              </w:rPr>
            </w:r>
            <w:r>
              <w:rPr>
                <w:b w:val="0"/>
                <w:sz w:val="18"/>
              </w:rPr>
              <w:t>Sealed custody object.</w:t>
            </w:r>
          </w:p>
        </w:tc>
        <w:tc>
          <w:tcPr>
            <w:tcW w:type="dxa" w:w="3360"/>
            <w:vAlign w:val="top"/>
          </w:tcPr>
          <w:p>
            <w:pPr>
              <w:spacing w:after="0"/>
            </w:pPr>
            <w:r>
              <w:rPr>
                <w:sz w:val="18"/>
              </w:rPr>
            </w:r>
            <w:r>
              <w:rPr>
                <w:b w:val="0"/>
                <w:sz w:val="18"/>
              </w:rPr>
              <w:t>vault_type, vault_payload, content_hash, signature, sealed_at, retention_until, receipt/evidence links.</w:t>
            </w:r>
          </w:p>
        </w:tc>
      </w:tr>
      <w:tr>
        <w:trPr>
          <w:cantSplit/>
        </w:trPr>
        <w:tc>
          <w:tcPr>
            <w:tcW w:type="dxa" w:w="3360"/>
            <w:vAlign w:val="top"/>
          </w:tcPr>
          <w:p>
            <w:pPr>
              <w:spacing w:after="0"/>
            </w:pPr>
            <w:r>
              <w:rPr>
                <w:sz w:val="18"/>
              </w:rPr>
            </w:r>
            <w:r>
              <w:rPr>
                <w:b w:val="0"/>
                <w:sz w:val="18"/>
              </w:rPr>
              <w:t>Audit pack</w:t>
            </w:r>
          </w:p>
        </w:tc>
        <w:tc>
          <w:tcPr>
            <w:tcW w:type="dxa" w:w="3360"/>
            <w:vAlign w:val="top"/>
          </w:tcPr>
          <w:p>
            <w:pPr>
              <w:spacing w:after="0"/>
            </w:pPr>
            <w:r>
              <w:rPr>
                <w:sz w:val="18"/>
              </w:rPr>
            </w:r>
            <w:r>
              <w:rPr>
                <w:b w:val="0"/>
                <w:sz w:val="18"/>
              </w:rPr>
              <w:t>Inspection-ready bundle.</w:t>
            </w:r>
          </w:p>
        </w:tc>
        <w:tc>
          <w:tcPr>
            <w:tcW w:type="dxa" w:w="3360"/>
            <w:vAlign w:val="top"/>
          </w:tcPr>
          <w:p>
            <w:pPr>
              <w:spacing w:after="0"/>
            </w:pPr>
            <w:r>
              <w:rPr>
                <w:sz w:val="18"/>
              </w:rPr>
            </w:r>
            <w:r>
              <w:rPr>
                <w:b w:val="0"/>
                <w:sz w:val="18"/>
              </w:rPr>
              <w:t>scope, included items, pack_hash, sealing fields, export format, counts.</w:t>
            </w:r>
          </w:p>
        </w:tc>
      </w:tr>
    </w:tbl>
    <w:p/>
    <w:p>
      <w:pPr>
        <w:pStyle w:val="Heading1"/>
      </w:pPr>
      <w:r>
        <w:t>6. Lazy Capsule Materialization</w:t>
      </w:r>
    </w:p>
    <w:p>
      <w:r>
        <w:t>Lazy Capsule Materialization separates continuous capture from full evidence expansion. The system records lightweight footprints continuously, but fuller capsules are materialized only when justified by gate outcome, audit request, incident, dispute, legal hold, regulator inquiry, random control sampling, sensitive export, or verification workflow.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pPr>
              <w:spacing w:after="0"/>
            </w:pPr>
            <w:r>
              <w:rPr>
                <w:sz w:val="18"/>
              </w:rPr>
            </w:r>
            <w:r>
              <w:rPr>
                <w:b/>
                <w:sz w:val="18"/>
              </w:rPr>
              <w:t>State</w:t>
            </w:r>
          </w:p>
        </w:tc>
        <w:tc>
          <w:tcPr>
            <w:tcW w:type="dxa" w:w="3360"/>
            <w:shd w:fill="D9EAF7"/>
            <w:vAlign w:val="center"/>
          </w:tcPr>
          <w:p>
            <w:pPr>
              <w:spacing w:after="0"/>
            </w:pPr>
            <w:r>
              <w:rPr>
                <w:sz w:val="18"/>
              </w:rPr>
            </w:r>
            <w:r>
              <w:rPr>
                <w:b/>
                <w:sz w:val="18"/>
              </w:rPr>
              <w:t>Captured by default</w:t>
            </w:r>
          </w:p>
        </w:tc>
        <w:tc>
          <w:tcPr>
            <w:tcW w:type="dxa" w:w="3360"/>
            <w:shd w:fill="D9EAF7"/>
            <w:vAlign w:val="center"/>
          </w:tcPr>
          <w:p>
            <w:pPr>
              <w:spacing w:after="0"/>
            </w:pPr>
            <w:r>
              <w:rPr>
                <w:sz w:val="18"/>
              </w:rPr>
            </w:r>
            <w:r>
              <w:rPr>
                <w:b/>
                <w:sz w:val="18"/>
              </w:rPr>
              <w:t>Materialized on trigger</w:t>
            </w:r>
          </w:p>
        </w:tc>
      </w:tr>
      <w:tr>
        <w:trPr>
          <w:cantSplit/>
        </w:trPr>
        <w:tc>
          <w:tcPr>
            <w:tcW w:type="dxa" w:w="3360"/>
            <w:vAlign w:val="top"/>
          </w:tcPr>
          <w:p>
            <w:pPr>
              <w:spacing w:after="0"/>
            </w:pPr>
            <w:r>
              <w:rPr>
                <w:sz w:val="18"/>
              </w:rPr>
            </w:r>
            <w:r>
              <w:rPr>
                <w:b w:val="0"/>
                <w:sz w:val="18"/>
              </w:rPr>
              <w:t>Lightweight receipt</w:t>
            </w:r>
          </w:p>
        </w:tc>
        <w:tc>
          <w:tcPr>
            <w:tcW w:type="dxa" w:w="3360"/>
            <w:vAlign w:val="top"/>
          </w:tcPr>
          <w:p>
            <w:pPr>
              <w:spacing w:after="0"/>
            </w:pPr>
            <w:r>
              <w:rPr>
                <w:sz w:val="18"/>
              </w:rPr>
            </w:r>
            <w:r>
              <w:rPr>
                <w:b w:val="0"/>
                <w:sz w:val="18"/>
              </w:rPr>
              <w:t>event type, actor, resource, policy context, timestamp, content hash, gate outcome, signature metadata.</w:t>
            </w:r>
          </w:p>
        </w:tc>
        <w:tc>
          <w:tcPr>
            <w:tcW w:type="dxa" w:w="3360"/>
            <w:vAlign w:val="top"/>
          </w:tcPr>
          <w:p>
            <w:pPr>
              <w:spacing w:after="0"/>
            </w:pPr>
            <w:r>
              <w:rPr>
                <w:sz w:val="18"/>
              </w:rPr>
            </w:r>
            <w:r>
              <w:rPr>
                <w:b w:val="0"/>
                <w:sz w:val="18"/>
              </w:rPr>
              <w:t>supporting artifacts, rule trace, approval chain, prompts/context digests, incident notes, verification proof.</w:t>
            </w:r>
          </w:p>
        </w:tc>
      </w:tr>
      <w:tr>
        <w:trPr>
          <w:cantSplit/>
        </w:trPr>
        <w:tc>
          <w:tcPr>
            <w:tcW w:type="dxa" w:w="3360"/>
            <w:vAlign w:val="top"/>
          </w:tcPr>
          <w:p>
            <w:pPr>
              <w:spacing w:after="0"/>
            </w:pPr>
            <w:r>
              <w:rPr>
                <w:sz w:val="18"/>
              </w:rPr>
            </w:r>
            <w:r>
              <w:rPr>
                <w:b w:val="0"/>
                <w:sz w:val="18"/>
              </w:rPr>
              <w:t>Evidence object</w:t>
            </w:r>
          </w:p>
        </w:tc>
        <w:tc>
          <w:tcPr>
            <w:tcW w:type="dxa" w:w="3360"/>
            <w:vAlign w:val="top"/>
          </w:tcPr>
          <w:p>
            <w:pPr>
              <w:spacing w:after="0"/>
            </w:pPr>
            <w:r>
              <w:rPr>
                <w:sz w:val="18"/>
              </w:rPr>
            </w:r>
            <w:r>
              <w:rPr>
                <w:b w:val="0"/>
                <w:sz w:val="18"/>
              </w:rPr>
              <w:t>structured payload or artifact pointer, content hash, schema version.</w:t>
            </w:r>
          </w:p>
        </w:tc>
        <w:tc>
          <w:tcPr>
            <w:tcW w:type="dxa" w:w="3360"/>
            <w:vAlign w:val="top"/>
          </w:tcPr>
          <w:p>
            <w:pPr>
              <w:spacing w:after="0"/>
            </w:pPr>
            <w:r>
              <w:rPr>
                <w:sz w:val="18"/>
              </w:rPr>
            </w:r>
            <w:r>
              <w:rPr>
                <w:b w:val="0"/>
                <w:sz w:val="18"/>
              </w:rPr>
              <w:t>complete artifact package, redacted views, signed export, additional lineage records.</w:t>
            </w:r>
          </w:p>
        </w:tc>
      </w:tr>
      <w:tr>
        <w:trPr>
          <w:cantSplit/>
        </w:trPr>
        <w:tc>
          <w:tcPr>
            <w:tcW w:type="dxa" w:w="3360"/>
            <w:vAlign w:val="top"/>
          </w:tcPr>
          <w:p>
            <w:pPr>
              <w:spacing w:after="0"/>
            </w:pPr>
            <w:r>
              <w:rPr>
                <w:sz w:val="18"/>
              </w:rPr>
            </w:r>
            <w:r>
              <w:rPr>
                <w:b w:val="0"/>
                <w:sz w:val="18"/>
              </w:rPr>
              <w:t>Audit pack</w:t>
            </w:r>
          </w:p>
        </w:tc>
        <w:tc>
          <w:tcPr>
            <w:tcW w:type="dxa" w:w="3360"/>
            <w:vAlign w:val="top"/>
          </w:tcPr>
          <w:p>
            <w:pPr>
              <w:spacing w:after="0"/>
            </w:pPr>
            <w:r>
              <w:rPr>
                <w:sz w:val="18"/>
              </w:rPr>
            </w:r>
            <w:r>
              <w:rPr>
                <w:b w:val="0"/>
                <w:sz w:val="18"/>
              </w:rPr>
              <w:t>not created for every event.</w:t>
            </w:r>
          </w:p>
        </w:tc>
        <w:tc>
          <w:tcPr>
            <w:tcW w:type="dxa" w:w="3360"/>
            <w:vAlign w:val="top"/>
          </w:tcPr>
          <w:p>
            <w:pPr>
              <w:spacing w:after="0"/>
            </w:pPr>
            <w:r>
              <w:rPr>
                <w:sz w:val="18"/>
              </w:rPr>
            </w:r>
            <w:r>
              <w:rPr>
                <w:b w:val="0"/>
                <w:sz w:val="18"/>
              </w:rPr>
              <w:t>created when inspection scope is known and evidence must be assembled deterministically.</w:t>
            </w:r>
          </w:p>
        </w:tc>
      </w:tr>
    </w:tbl>
    <w:p/>
    <w:p>
      <w:pPr>
        <w:pStyle w:val="Heading1"/>
      </w:pPr>
      <w:r>
        <w:t>7. Reader Map for the Paper Set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pPr>
              <w:spacing w:after="0"/>
            </w:pPr>
            <w:r>
              <w:rPr>
                <w:sz w:val="18"/>
              </w:rPr>
            </w:r>
            <w:r>
              <w:rPr>
                <w:b/>
                <w:sz w:val="18"/>
              </w:rPr>
              <w:t>Paper</w:t>
            </w:r>
          </w:p>
        </w:tc>
        <w:tc>
          <w:tcPr>
            <w:tcW w:type="dxa" w:w="3360"/>
            <w:shd w:fill="D9EAF7"/>
            <w:vAlign w:val="center"/>
          </w:tcPr>
          <w:p>
            <w:pPr>
              <w:spacing w:after="0"/>
            </w:pPr>
            <w:r>
              <w:rPr>
                <w:sz w:val="18"/>
              </w:rPr>
            </w:r>
            <w:r>
              <w:rPr>
                <w:b/>
                <w:sz w:val="18"/>
              </w:rPr>
              <w:t>Role in the architecture</w:t>
            </w:r>
          </w:p>
        </w:tc>
        <w:tc>
          <w:tcPr>
            <w:tcW w:type="dxa" w:w="3360"/>
            <w:shd w:fill="D9EAF7"/>
            <w:vAlign w:val="center"/>
          </w:tcPr>
          <w:p>
            <w:pPr>
              <w:spacing w:after="0"/>
            </w:pPr>
            <w:r>
              <w:rPr>
                <w:sz w:val="18"/>
              </w:rPr>
            </w:r>
            <w:r>
              <w:rPr>
                <w:b/>
                <w:sz w:val="18"/>
              </w:rPr>
              <w:t>Database-backed emphasis</w:t>
            </w:r>
          </w:p>
        </w:tc>
      </w:tr>
      <w:tr>
        <w:trPr>
          <w:cantSplit/>
        </w:trPr>
        <w:tc>
          <w:tcPr>
            <w:tcW w:type="dxa" w:w="3360"/>
            <w:vAlign w:val="top"/>
          </w:tcPr>
          <w:p>
            <w:pPr>
              <w:spacing w:after="0"/>
            </w:pPr>
            <w:r>
              <w:rPr>
                <w:sz w:val="18"/>
              </w:rPr>
            </w:r>
            <w:r>
              <w:rPr>
                <w:b w:val="0"/>
                <w:sz w:val="18"/>
              </w:rPr>
              <w:t>Category Framework</w:t>
            </w:r>
          </w:p>
        </w:tc>
        <w:tc>
          <w:tcPr>
            <w:tcW w:type="dxa" w:w="3360"/>
            <w:vAlign w:val="top"/>
          </w:tcPr>
          <w:p>
            <w:pPr>
              <w:spacing w:after="0"/>
            </w:pPr>
            <w:r>
              <w:rPr>
                <w:sz w:val="18"/>
              </w:rPr>
            </w:r>
            <w:r>
              <w:rPr>
                <w:b w:val="0"/>
                <w:sz w:val="18"/>
              </w:rPr>
              <w:t>Defines AGEI as the missing evidence infrastructure category.</w:t>
            </w:r>
          </w:p>
        </w:tc>
        <w:tc>
          <w:tcPr>
            <w:tcW w:type="dxa" w:w="3360"/>
            <w:vAlign w:val="top"/>
          </w:tcPr>
          <w:p>
            <w:pPr>
              <w:spacing w:after="0"/>
            </w:pPr>
            <w:r>
              <w:rPr>
                <w:sz w:val="18"/>
              </w:rPr>
            </w:r>
            <w:r>
              <w:rPr>
                <w:b w:val="0"/>
                <w:sz w:val="18"/>
              </w:rPr>
              <w:t>Shows why the whole database exists as a proof layer rather than logs.</w:t>
            </w:r>
          </w:p>
        </w:tc>
      </w:tr>
      <w:tr>
        <w:trPr>
          <w:cantSplit/>
        </w:trPr>
        <w:tc>
          <w:tcPr>
            <w:tcW w:type="dxa" w:w="3360"/>
            <w:vAlign w:val="top"/>
          </w:tcPr>
          <w:p>
            <w:pPr>
              <w:spacing w:after="0"/>
            </w:pPr>
            <w:r>
              <w:rPr>
                <w:sz w:val="18"/>
              </w:rPr>
            </w:r>
            <w:r>
              <w:rPr>
                <w:b w:val="0"/>
                <w:sz w:val="18"/>
              </w:rPr>
              <w:t>CIAF-LCM Process</w:t>
            </w:r>
          </w:p>
        </w:tc>
        <w:tc>
          <w:tcPr>
            <w:tcW w:type="dxa" w:w="3360"/>
            <w:vAlign w:val="top"/>
          </w:tcPr>
          <w:p>
            <w:pPr>
              <w:spacing w:after="0"/>
            </w:pPr>
            <w:r>
              <w:rPr>
                <w:sz w:val="18"/>
              </w:rPr>
            </w:r>
            <w:r>
              <w:rPr>
                <w:b w:val="0"/>
                <w:sz w:val="18"/>
              </w:rPr>
              <w:t>Explains policy -&gt; logic -&gt; gates -&gt; events -&gt; receipts -&gt; vault.</w:t>
            </w:r>
          </w:p>
        </w:tc>
        <w:tc>
          <w:tcPr>
            <w:tcW w:type="dxa" w:w="3360"/>
            <w:vAlign w:val="top"/>
          </w:tcPr>
          <w:p>
            <w:pPr>
              <w:spacing w:after="0"/>
            </w:pPr>
            <w:r>
              <w:rPr>
                <w:sz w:val="18"/>
              </w:rPr>
            </w:r>
            <w:r>
              <w:rPr>
                <w:b w:val="0"/>
                <w:sz w:val="18"/>
              </w:rPr>
              <w:t>policy_sets, policy_versions, policy_rules, gate_definitions, receipts.</w:t>
            </w:r>
          </w:p>
        </w:tc>
      </w:tr>
      <w:tr>
        <w:trPr>
          <w:cantSplit/>
        </w:trPr>
        <w:tc>
          <w:tcPr>
            <w:tcW w:type="dxa" w:w="3360"/>
            <w:vAlign w:val="top"/>
          </w:tcPr>
          <w:p>
            <w:pPr>
              <w:spacing w:after="0"/>
            </w:pPr>
            <w:r>
              <w:rPr>
                <w:sz w:val="18"/>
              </w:rPr>
            </w:r>
            <w:r>
              <w:rPr>
                <w:b w:val="0"/>
                <w:sz w:val="18"/>
              </w:rPr>
              <w:t>Governance Gates</w:t>
            </w:r>
          </w:p>
        </w:tc>
        <w:tc>
          <w:tcPr>
            <w:tcW w:type="dxa" w:w="3360"/>
            <w:vAlign w:val="top"/>
          </w:tcPr>
          <w:p>
            <w:pPr>
              <w:spacing w:after="0"/>
            </w:pPr>
            <w:r>
              <w:rPr>
                <w:sz w:val="18"/>
              </w:rPr>
            </w:r>
            <w:r>
              <w:rPr>
                <w:b w:val="0"/>
                <w:sz w:val="18"/>
              </w:rPr>
              <w:t>Explains event-to-receipt and gate-to-outcome mechanics.</w:t>
            </w:r>
          </w:p>
        </w:tc>
        <w:tc>
          <w:tcPr>
            <w:tcW w:type="dxa" w:w="3360"/>
            <w:vAlign w:val="top"/>
          </w:tcPr>
          <w:p>
            <w:pPr>
              <w:spacing w:after="0"/>
            </w:pPr>
            <w:r>
              <w:rPr>
                <w:sz w:val="18"/>
              </w:rPr>
            </w:r>
            <w:r>
              <w:rPr>
                <w:b w:val="0"/>
                <w:sz w:val="18"/>
              </w:rPr>
              <w:t>policy_evaluations, gate_evaluations, overrides, denial receipts.</w:t>
            </w:r>
          </w:p>
        </w:tc>
      </w:tr>
      <w:tr>
        <w:trPr>
          <w:cantSplit/>
        </w:trPr>
        <w:tc>
          <w:tcPr>
            <w:tcW w:type="dxa" w:w="3360"/>
            <w:vAlign w:val="top"/>
          </w:tcPr>
          <w:p>
            <w:pPr>
              <w:spacing w:after="0"/>
            </w:pPr>
            <w:r>
              <w:rPr>
                <w:sz w:val="18"/>
              </w:rPr>
            </w:r>
            <w:r>
              <w:rPr>
                <w:b w:val="0"/>
                <w:sz w:val="18"/>
              </w:rPr>
              <w:t>Evidence Vault</w:t>
            </w:r>
          </w:p>
        </w:tc>
        <w:tc>
          <w:tcPr>
            <w:tcW w:type="dxa" w:w="3360"/>
            <w:vAlign w:val="top"/>
          </w:tcPr>
          <w:p>
            <w:pPr>
              <w:spacing w:after="0"/>
            </w:pPr>
            <w:r>
              <w:rPr>
                <w:sz w:val="18"/>
              </w:rPr>
            </w:r>
            <w:r>
              <w:rPr>
                <w:b w:val="0"/>
                <w:sz w:val="18"/>
              </w:rPr>
              <w:t>Explains custody, sealing, batching, and audit packs.</w:t>
            </w:r>
          </w:p>
        </w:tc>
        <w:tc>
          <w:tcPr>
            <w:tcW w:type="dxa" w:w="3360"/>
            <w:vAlign w:val="top"/>
          </w:tcPr>
          <w:p>
            <w:pPr>
              <w:spacing w:after="0"/>
            </w:pPr>
            <w:r>
              <w:rPr>
                <w:sz w:val="18"/>
              </w:rPr>
            </w:r>
            <w:r>
              <w:rPr>
                <w:b w:val="0"/>
                <w:sz w:val="18"/>
              </w:rPr>
              <w:t>evidence_objects, vault_objects, receipt_batches, audit_packs, verification_jobs.</w:t>
            </w:r>
          </w:p>
        </w:tc>
      </w:tr>
      <w:tr>
        <w:trPr>
          <w:cantSplit/>
        </w:trPr>
        <w:tc>
          <w:tcPr>
            <w:tcW w:type="dxa" w:w="3360"/>
            <w:vAlign w:val="top"/>
          </w:tcPr>
          <w:p>
            <w:pPr>
              <w:spacing w:after="0"/>
            </w:pPr>
            <w:r>
              <w:rPr>
                <w:sz w:val="18"/>
              </w:rPr>
            </w:r>
            <w:r>
              <w:rPr>
                <w:b w:val="0"/>
                <w:sz w:val="18"/>
              </w:rPr>
              <w:t>Agent Governance</w:t>
            </w:r>
          </w:p>
        </w:tc>
        <w:tc>
          <w:tcPr>
            <w:tcW w:type="dxa" w:w="3360"/>
            <w:vAlign w:val="top"/>
          </w:tcPr>
          <w:p>
            <w:pPr>
              <w:spacing w:after="0"/>
            </w:pPr>
            <w:r>
              <w:rPr>
                <w:sz w:val="18"/>
              </w:rPr>
            </w:r>
            <w:r>
              <w:rPr>
                <w:b w:val="0"/>
                <w:sz w:val="18"/>
              </w:rPr>
              <w:t>Explains runtime action governance for agents.</w:t>
            </w:r>
          </w:p>
        </w:tc>
        <w:tc>
          <w:tcPr>
            <w:tcW w:type="dxa" w:w="3360"/>
            <w:vAlign w:val="top"/>
          </w:tcPr>
          <w:p>
            <w:pPr>
              <w:spacing w:after="0"/>
            </w:pPr>
            <w:r>
              <w:rPr>
                <w:sz w:val="18"/>
              </w:rPr>
            </w:r>
            <w:r>
              <w:rPr>
                <w:b w:val="0"/>
                <w:sz w:val="18"/>
              </w:rPr>
              <w:t>agent_sessions, agent_delegations, pre_action_proof_bundles, tool invocations.</w:t>
            </w:r>
          </w:p>
        </w:tc>
      </w:tr>
      <w:tr>
        <w:trPr>
          <w:cantSplit/>
        </w:trPr>
        <w:tc>
          <w:tcPr>
            <w:tcW w:type="dxa" w:w="3360"/>
            <w:vAlign w:val="top"/>
          </w:tcPr>
          <w:p>
            <w:pPr>
              <w:spacing w:after="0"/>
            </w:pPr>
            <w:r>
              <w:rPr>
                <w:sz w:val="18"/>
              </w:rPr>
            </w:r>
            <w:r>
              <w:rPr>
                <w:b w:val="0"/>
                <w:sz w:val="18"/>
              </w:rPr>
              <w:t>Dual-Layer Provenance</w:t>
            </w:r>
          </w:p>
        </w:tc>
        <w:tc>
          <w:tcPr>
            <w:tcW w:type="dxa" w:w="3360"/>
            <w:vAlign w:val="top"/>
          </w:tcPr>
          <w:p>
            <w:pPr>
              <w:spacing w:after="0"/>
            </w:pPr>
            <w:r>
              <w:rPr>
                <w:sz w:val="18"/>
              </w:rPr>
            </w:r>
            <w:r>
              <w:rPr>
                <w:b w:val="0"/>
                <w:sz w:val="18"/>
              </w:rPr>
              <w:t>Explains downstream artifact proof after export.</w:t>
            </w:r>
          </w:p>
        </w:tc>
        <w:tc>
          <w:tcPr>
            <w:tcW w:type="dxa" w:w="3360"/>
            <w:vAlign w:val="top"/>
          </w:tcPr>
          <w:p>
            <w:pPr>
              <w:spacing w:after="0"/>
            </w:pPr>
            <w:r>
              <w:rPr>
                <w:sz w:val="18"/>
              </w:rPr>
            </w:r>
            <w:r>
              <w:rPr>
                <w:b w:val="0"/>
                <w:sz w:val="18"/>
              </w:rPr>
              <w:t>artifact_release_records, forensic_fingerprints, provenance_verification_records.</w:t>
            </w:r>
          </w:p>
        </w:tc>
      </w:tr>
      <w:tr>
        <w:trPr>
          <w:cantSplit/>
        </w:trPr>
        <w:tc>
          <w:tcPr>
            <w:tcW w:type="dxa" w:w="3360"/>
            <w:vAlign w:val="top"/>
          </w:tcPr>
          <w:p>
            <w:pPr>
              <w:spacing w:after="0"/>
            </w:pPr>
            <w:r>
              <w:rPr>
                <w:sz w:val="18"/>
              </w:rPr>
            </w:r>
            <w:r>
              <w:rPr>
                <w:b w:val="0"/>
                <w:sz w:val="18"/>
              </w:rPr>
              <w:t>Shadow AI Governance</w:t>
            </w:r>
          </w:p>
        </w:tc>
        <w:tc>
          <w:tcPr>
            <w:tcW w:type="dxa" w:w="3360"/>
            <w:vAlign w:val="top"/>
          </w:tcPr>
          <w:p>
            <w:pPr>
              <w:spacing w:after="0"/>
            </w:pPr>
            <w:r>
              <w:rPr>
                <w:sz w:val="18"/>
              </w:rPr>
            </w:r>
            <w:r>
              <w:rPr>
                <w:b w:val="0"/>
                <w:sz w:val="18"/>
              </w:rPr>
              <w:t>Explains unmanaged AI evidence capture and response.</w:t>
            </w:r>
          </w:p>
        </w:tc>
        <w:tc>
          <w:tcPr>
            <w:tcW w:type="dxa" w:w="3360"/>
            <w:vAlign w:val="top"/>
          </w:tcPr>
          <w:p>
            <w:pPr>
              <w:spacing w:after="0"/>
            </w:pPr>
            <w:r>
              <w:rPr>
                <w:sz w:val="18"/>
              </w:rPr>
            </w:r>
            <w:r>
              <w:rPr>
                <w:b w:val="0"/>
                <w:sz w:val="18"/>
              </w:rPr>
              <w:t>tool registry, discovery records, classifications, governance responses.</w:t>
            </w:r>
          </w:p>
        </w:tc>
      </w:tr>
      <w:tr>
        <w:trPr>
          <w:cantSplit/>
        </w:trPr>
        <w:tc>
          <w:tcPr>
            <w:tcW w:type="dxa" w:w="3360"/>
            <w:vAlign w:val="top"/>
          </w:tcPr>
          <w:p>
            <w:pPr>
              <w:spacing w:after="0"/>
            </w:pPr>
            <w:r>
              <w:rPr>
                <w:sz w:val="18"/>
              </w:rPr>
            </w:r>
            <w:r>
              <w:rPr>
                <w:b w:val="0"/>
                <w:sz w:val="18"/>
              </w:rPr>
              <w:t>Regulatory Guide</w:t>
            </w:r>
          </w:p>
        </w:tc>
        <w:tc>
          <w:tcPr>
            <w:tcW w:type="dxa" w:w="3360"/>
            <w:vAlign w:val="top"/>
          </w:tcPr>
          <w:p>
            <w:pPr>
              <w:spacing w:after="0"/>
            </w:pPr>
            <w:r>
              <w:rPr>
                <w:sz w:val="18"/>
              </w:rPr>
            </w:r>
            <w:r>
              <w:rPr>
                <w:b w:val="0"/>
                <w:sz w:val="18"/>
              </w:rPr>
              <w:t>Maps evidence functions to legal and standards themes.</w:t>
            </w:r>
          </w:p>
        </w:tc>
        <w:tc>
          <w:tcPr>
            <w:tcW w:type="dxa" w:w="3360"/>
            <w:vAlign w:val="top"/>
          </w:tcPr>
          <w:p>
            <w:pPr>
              <w:spacing w:after="0"/>
            </w:pPr>
            <w:r>
              <w:rPr>
                <w:sz w:val="18"/>
              </w:rPr>
            </w:r>
            <w:r>
              <w:rPr>
                <w:b w:val="0"/>
                <w:sz w:val="18"/>
              </w:rPr>
              <w:t>audit packs, privacy records, lifecycle receipts, gate outcomes.</w:t>
            </w:r>
          </w:p>
        </w:tc>
      </w:tr>
    </w:tbl>
    <w:p/>
    <w:p>
      <w:pPr>
        <w:pStyle w:val="Heading1"/>
      </w:pPr>
      <w:r>
        <w:t>8. Implementation Readiness</w:t>
      </w:r>
    </w:p>
    <w:p>
      <w:r>
        <w:t>The schema now supports a real service boundary. A customer-facing API can accept lifecycle events, agent actions, artifact release records, privacy events, and shadow AI discovery signals; evaluate them against policy and gates; generate receipts; store evidence; seal custody objects; and produce audit packs. The remaining work is operational hardening: API contracts, key management, verification CLI or portal, role-based access control, retention profiles, and sample pilot workflows.</w:t>
      </w:r>
    </w:p>
    <w:p>
      <w:pPr>
        <w:pStyle w:val="Heading1"/>
      </w:pPr>
      <w:r>
        <w:t>AI Use and Editorial Note</w:t>
      </w:r>
    </w:p>
    <w:p>
      <w:r>
        <w:t>This draft was prepared for concept development, publication planning, and architecture alignment. AI assistance may have been used to structure and draft the material, with human editorial control, technical judgment, and final review expected before publication or external distribution.</w:t>
      </w:r>
    </w:p>
    <w:p>
      <w:pPr>
        <w:pStyle w:val="Heading1"/>
      </w:pPr>
      <w:r>
        <w:t>Source Basis</w:t>
      </w:r>
    </w:p>
    <w:p>
      <w:r>
        <w:t>This document is based on the AGEI category paper, CIAF-LCM process paper, CIAF-LCM with Governance Gates paper, evidence vault paper, agent governance paper, shadow AI paper, dual-layer provenance paper, global regulatory reference guide, and the completed database/schema structure exported in DATABASE.md.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