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Cognitive Insight Audit Framework - LCM</w:t>
      </w:r>
    </w:p>
    <w:p>
      <w:pPr>
        <w:jc w:val="center"/>
      </w:pPr>
      <w:r>
        <w:rPr>
          <w:i/>
          <w:sz w:val="24"/>
        </w:rPr>
        <w:t>Updated Process Model Aligned to the Completed Database Structure</w:t>
      </w:r>
    </w:p>
    <w:p>
      <w:pPr>
        <w:jc w:val="center"/>
      </w:pPr>
      <w:r>
        <w:rPr>
          <w:i/>
        </w:rPr>
        <w:t>Denzil Greenwood | CognitiveInsight.ai | April 2026</w:t>
      </w:r>
    </w:p>
    <w:p/>
    <w:p>
      <w:pPr>
        <w:pStyle w:val="Heading1"/>
      </w:pPr>
      <w:r>
        <w:t>Abstract</w:t>
      </w:r>
    </w:p>
    <w:p>
      <w:r>
        <w:t>This updated CIAF-LCM process paper explains how organizational governance policy becomes executable governance and durable evidence. It aligns the process model to the completed operational database structure, showing how policy sets, policy versions, rules, evaluations, gates, receipts, evidence objects, vault objects, and audit packs work together.</w:t>
      </w:r>
    </w:p>
    <w:p>
      <w:pPr>
        <w:pStyle w:val="Heading1"/>
      </w:pPr>
      <w:r>
        <w:t>1. Process Claim</w:t>
      </w:r>
    </w:p>
    <w:p>
      <w:r>
        <w:t>CIAF-LCM is the process architecture inside AGEI. Its job is not merely to record that AI lifecycle events occurred. Its job is to preserve the relationship among governance policy, policy logic, lifecycle event, gate evaluation, control outcome, evidence payload, custody object, and later verification.</w:t>
      </w:r>
    </w:p>
    <w:tbl>
      <w:tblPr>
        <w:tblStyle w:val="TableGrid"/>
        <w:tblW w:type="auto" w:w="0"/>
        <w:tblLook w:firstColumn="1" w:firstRow="1" w:lastColumn="0" w:lastRow="0" w:noHBand="0" w:noVBand="1" w:val="04A0"/>
      </w:tblPr>
      <w:tblGrid>
        <w:gridCol w:w="10080"/>
      </w:tblGrid>
      <w:tr>
        <w:trPr>
          <w:tblHeader w:val="true"/>
          <w:cantSplit/>
        </w:trPr>
        <w:tc>
          <w:tcPr>
            <w:tcW w:type="dxa" w:w="10080"/>
            <w:shd w:fill="F2F6F8"/>
          </w:tcPr>
          <w:p>
            <w:pPr>
              <w:spacing w:after="80"/>
            </w:pPr>
            <w:r>
              <w:rPr>
                <w:sz w:val="18"/>
              </w:rPr>
            </w:r>
            <w:r>
              <w:rPr>
                <w:b/>
                <w:sz w:val="18"/>
              </w:rPr>
              <w:t>Core chain</w:t>
            </w:r>
          </w:p>
          <w:p>
            <w:pPr>
              <w:pStyle w:val="BodyText"/>
              <w:spacing w:after="40"/>
            </w:pPr>
            <w:r>
              <w:rPr>
                <w:sz w:val="18"/>
              </w:rPr>
              <w:t>Policy -&gt; Policy Version -&gt; Policy Rules -&gt; Gate Definitions -&gt; Lifecycle Events -&gt; Policy Evaluations -&gt; Gate Evaluations -&gt; Receipts -&gt; Evidence Objects -&gt; Vault Objects -&gt; Audit Packs -&gt; Verification Jobs</w:t>
            </w:r>
          </w:p>
        </w:tc>
      </w:tr>
    </w:tbl>
    <w:p/>
    <w:p>
      <w:pPr>
        <w:pStyle w:val="Heading1"/>
      </w:pPr>
      <w:r>
        <w:t>2. Policy as the Starting Object</w:t>
      </w:r>
    </w:p>
    <w:p>
      <w:r>
        <w:t>The process begins with policy. The database represents policy through policy_sets, policy_versions, and policy_rules. The policy set groups a governance regime. The policy version preserves the exact policy state. The policy rule table indexes the executable conditions used by gates.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pPr>
              <w:spacing w:after="0"/>
            </w:pPr>
            <w:r>
              <w:rPr>
                <w:sz w:val="18"/>
              </w:rPr>
            </w:r>
            <w:r>
              <w:rPr>
                <w:b/>
                <w:sz w:val="18"/>
              </w:rPr>
              <w:t>Database object</w:t>
            </w:r>
          </w:p>
        </w:tc>
        <w:tc>
          <w:tcPr>
            <w:tcW w:type="dxa" w:w="3360"/>
            <w:shd w:fill="D9EAF7"/>
            <w:vAlign w:val="center"/>
          </w:tcPr>
          <w:p>
            <w:pPr>
              <w:spacing w:after="0"/>
            </w:pPr>
            <w:r>
              <w:rPr>
                <w:sz w:val="18"/>
              </w:rPr>
            </w:r>
            <w:r>
              <w:rPr>
                <w:b/>
                <w:sz w:val="18"/>
              </w:rPr>
              <w:t>Meaning in CIAF-LCM</w:t>
            </w:r>
          </w:p>
        </w:tc>
        <w:tc>
          <w:tcPr>
            <w:tcW w:type="dxa" w:w="3360"/>
            <w:shd w:fill="D9EAF7"/>
            <w:vAlign w:val="center"/>
          </w:tcPr>
          <w:p>
            <w:pPr>
              <w:spacing w:after="0"/>
            </w:pPr>
            <w:r>
              <w:rPr>
                <w:sz w:val="18"/>
              </w:rPr>
            </w:r>
            <w:r>
              <w:rPr>
                <w:b/>
                <w:sz w:val="18"/>
              </w:rPr>
              <w:t>Why it matters</w:t>
            </w:r>
          </w:p>
        </w:tc>
      </w:tr>
      <w:tr>
        <w:trPr>
          <w:cantSplit/>
        </w:trPr>
        <w:tc>
          <w:tcPr>
            <w:tcW w:type="dxa" w:w="3360"/>
            <w:vAlign w:val="top"/>
          </w:tcPr>
          <w:p>
            <w:pPr>
              <w:spacing w:after="0"/>
            </w:pPr>
            <w:r>
              <w:rPr>
                <w:sz w:val="18"/>
              </w:rPr>
            </w:r>
            <w:r>
              <w:rPr>
                <w:b w:val="0"/>
                <w:sz w:val="18"/>
              </w:rPr>
              <w:t>policy_sets</w:t>
            </w:r>
          </w:p>
        </w:tc>
        <w:tc>
          <w:tcPr>
            <w:tcW w:type="dxa" w:w="3360"/>
            <w:vAlign w:val="top"/>
          </w:tcPr>
          <w:p>
            <w:pPr>
              <w:spacing w:after="0"/>
            </w:pPr>
            <w:r>
              <w:rPr>
                <w:sz w:val="18"/>
              </w:rPr>
            </w:r>
            <w:r>
              <w:rPr>
                <w:b w:val="0"/>
                <w:sz w:val="18"/>
              </w:rPr>
              <w:t>Governed policy family or control regime.</w:t>
            </w:r>
          </w:p>
        </w:tc>
        <w:tc>
          <w:tcPr>
            <w:tcW w:type="dxa" w:w="3360"/>
            <w:vAlign w:val="top"/>
          </w:tcPr>
          <w:p>
            <w:pPr>
              <w:spacing w:after="0"/>
            </w:pPr>
            <w:r>
              <w:rPr>
                <w:sz w:val="18"/>
              </w:rPr>
            </w:r>
            <w:r>
              <w:rPr>
                <w:b w:val="0"/>
                <w:sz w:val="18"/>
              </w:rPr>
              <w:t>Separates enterprise, system, model, workflow, or use-case policy domains.</w:t>
            </w:r>
          </w:p>
        </w:tc>
      </w:tr>
      <w:tr>
        <w:trPr>
          <w:cantSplit/>
        </w:trPr>
        <w:tc>
          <w:tcPr>
            <w:tcW w:type="dxa" w:w="3360"/>
            <w:vAlign w:val="top"/>
          </w:tcPr>
          <w:p>
            <w:pPr>
              <w:spacing w:after="0"/>
            </w:pPr>
            <w:r>
              <w:rPr>
                <w:sz w:val="18"/>
              </w:rPr>
            </w:r>
            <w:r>
              <w:rPr>
                <w:b w:val="0"/>
                <w:sz w:val="18"/>
              </w:rPr>
              <w:t>policy_versions</w:t>
            </w:r>
          </w:p>
        </w:tc>
        <w:tc>
          <w:tcPr>
            <w:tcW w:type="dxa" w:w="3360"/>
            <w:vAlign w:val="top"/>
          </w:tcPr>
          <w:p>
            <w:pPr>
              <w:spacing w:after="0"/>
            </w:pPr>
            <w:r>
              <w:rPr>
                <w:sz w:val="18"/>
              </w:rPr>
            </w:r>
            <w:r>
              <w:rPr>
                <w:b w:val="0"/>
                <w:sz w:val="18"/>
              </w:rPr>
              <w:t>Immutable policy state with payload hash and canonicalization version.</w:t>
            </w:r>
          </w:p>
        </w:tc>
        <w:tc>
          <w:tcPr>
            <w:tcW w:type="dxa" w:w="3360"/>
            <w:vAlign w:val="top"/>
          </w:tcPr>
          <w:p>
            <w:pPr>
              <w:spacing w:after="0"/>
            </w:pPr>
            <w:r>
              <w:rPr>
                <w:sz w:val="18"/>
              </w:rPr>
            </w:r>
            <w:r>
              <w:rPr>
                <w:b w:val="0"/>
                <w:sz w:val="18"/>
              </w:rPr>
              <w:t>Allows later reviewers to reconstruct the exact rules in force.</w:t>
            </w:r>
          </w:p>
        </w:tc>
      </w:tr>
      <w:tr>
        <w:trPr>
          <w:cantSplit/>
        </w:trPr>
        <w:tc>
          <w:tcPr>
            <w:tcW w:type="dxa" w:w="3360"/>
            <w:vAlign w:val="top"/>
          </w:tcPr>
          <w:p>
            <w:pPr>
              <w:spacing w:after="0"/>
            </w:pPr>
            <w:r>
              <w:rPr>
                <w:sz w:val="18"/>
              </w:rPr>
            </w:r>
            <w:r>
              <w:rPr>
                <w:b w:val="0"/>
                <w:sz w:val="18"/>
              </w:rPr>
              <w:t>policy_rules</w:t>
            </w:r>
          </w:p>
        </w:tc>
        <w:tc>
          <w:tcPr>
            <w:tcW w:type="dxa" w:w="3360"/>
            <w:vAlign w:val="top"/>
          </w:tcPr>
          <w:p>
            <w:pPr>
              <w:spacing w:after="0"/>
            </w:pPr>
            <w:r>
              <w:rPr>
                <w:sz w:val="18"/>
              </w:rPr>
            </w:r>
            <w:r>
              <w:rPr>
                <w:b w:val="0"/>
                <w:sz w:val="18"/>
              </w:rPr>
              <w:t>Executable or indexable conditions extracted from the policy version.</w:t>
            </w:r>
          </w:p>
        </w:tc>
        <w:tc>
          <w:tcPr>
            <w:tcW w:type="dxa" w:w="3360"/>
            <w:vAlign w:val="top"/>
          </w:tcPr>
          <w:p>
            <w:pPr>
              <w:spacing w:after="0"/>
            </w:pPr>
            <w:r>
              <w:rPr>
                <w:sz w:val="18"/>
              </w:rPr>
            </w:r>
            <w:r>
              <w:rPr>
                <w:b w:val="0"/>
                <w:sz w:val="18"/>
              </w:rPr>
              <w:t>Turns policy text into evaluable logic.</w:t>
            </w:r>
          </w:p>
        </w:tc>
      </w:tr>
    </w:tbl>
    <w:p/>
    <w:p>
      <w:pPr>
        <w:pStyle w:val="Heading1"/>
      </w:pPr>
      <w:r>
        <w:t>3. Policy-to-Logic Translation</w:t>
      </w:r>
    </w:p>
    <w:p>
      <w:r>
        <w:t>The translation step converts human policy into machine-evaluable conditions. This may include thresholds, required evidence, allowed use cases, human approval requirements, restricted data classes, jurisdiction limits, model validation requirements, and exception routing. The important point is that the translation remains traceable to policy_version_id and policy_rule_id.</w:t>
      </w:r>
    </w:p>
    <w:p>
      <w:pPr>
        <w:pStyle w:val="Heading1"/>
      </w:pPr>
      <w:r>
        <w:t>4. Gate Derivation</w:t>
      </w:r>
    </w:p>
    <w:p>
      <w:r>
        <w:t>Gate definitions are derived from policy logic. In the database, gate_definitions include gate type, policy set or version linkage, evaluation mode, failure action, active/required flags, and schema references. A gate is therefore not an ad hoc approval step; it is a policy-derived runtime or lifecycle control point.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pPr>
              <w:spacing w:after="0"/>
            </w:pPr>
            <w:r>
              <w:rPr>
                <w:sz w:val="18"/>
              </w:rPr>
            </w:r>
            <w:r>
              <w:rPr>
                <w:b/>
                <w:sz w:val="18"/>
              </w:rPr>
              <w:t>Gate type</w:t>
            </w:r>
          </w:p>
        </w:tc>
        <w:tc>
          <w:tcPr>
            <w:tcW w:type="dxa" w:w="3360"/>
            <w:shd w:fill="D9EAF7"/>
            <w:vAlign w:val="center"/>
          </w:tcPr>
          <w:p>
            <w:pPr>
              <w:spacing w:after="0"/>
            </w:pPr>
            <w:r>
              <w:rPr>
                <w:sz w:val="18"/>
              </w:rPr>
            </w:r>
            <w:r>
              <w:rPr>
                <w:b/>
                <w:sz w:val="18"/>
              </w:rPr>
              <w:t>Typical lifecycle location</w:t>
            </w:r>
          </w:p>
        </w:tc>
        <w:tc>
          <w:tcPr>
            <w:tcW w:type="dxa" w:w="3360"/>
            <w:shd w:fill="D9EAF7"/>
            <w:vAlign w:val="center"/>
          </w:tcPr>
          <w:p>
            <w:pPr>
              <w:spacing w:after="0"/>
            </w:pPr>
            <w:r>
              <w:rPr>
                <w:sz w:val="18"/>
              </w:rPr>
            </w:r>
            <w:r>
              <w:rPr>
                <w:b/>
                <w:sz w:val="18"/>
              </w:rPr>
              <w:t>Database representation</w:t>
            </w:r>
          </w:p>
        </w:tc>
      </w:tr>
      <w:tr>
        <w:trPr>
          <w:cantSplit/>
        </w:trPr>
        <w:tc>
          <w:tcPr>
            <w:tcW w:type="dxa" w:w="3360"/>
            <w:vAlign w:val="top"/>
          </w:tcPr>
          <w:p>
            <w:pPr>
              <w:spacing w:after="0"/>
            </w:pPr>
            <w:r>
              <w:rPr>
                <w:sz w:val="18"/>
              </w:rPr>
            </w:r>
            <w:r>
              <w:rPr>
                <w:b w:val="0"/>
                <w:sz w:val="18"/>
              </w:rPr>
              <w:t>Provenance gate</w:t>
            </w:r>
          </w:p>
        </w:tc>
        <w:tc>
          <w:tcPr>
            <w:tcW w:type="dxa" w:w="3360"/>
            <w:vAlign w:val="top"/>
          </w:tcPr>
          <w:p>
            <w:pPr>
              <w:spacing w:after="0"/>
            </w:pPr>
            <w:r>
              <w:rPr>
                <w:sz w:val="18"/>
              </w:rPr>
            </w:r>
            <w:r>
              <w:rPr>
                <w:b w:val="0"/>
                <w:sz w:val="18"/>
              </w:rPr>
              <w:t>Dataset onboarding, artifact import, third-party dependency intake.</w:t>
            </w:r>
          </w:p>
        </w:tc>
        <w:tc>
          <w:tcPr>
            <w:tcW w:type="dxa" w:w="3360"/>
            <w:vAlign w:val="top"/>
          </w:tcPr>
          <w:p>
            <w:pPr>
              <w:spacing w:after="0"/>
            </w:pPr>
            <w:r>
              <w:rPr>
                <w:sz w:val="18"/>
              </w:rPr>
            </w:r>
            <w:r>
              <w:rPr>
                <w:b w:val="0"/>
                <w:sz w:val="18"/>
              </w:rPr>
              <w:t>gate_definitions + policy_rules + policy_evaluations.</w:t>
            </w:r>
          </w:p>
        </w:tc>
      </w:tr>
      <w:tr>
        <w:trPr>
          <w:cantSplit/>
        </w:trPr>
        <w:tc>
          <w:tcPr>
            <w:tcW w:type="dxa" w:w="3360"/>
            <w:vAlign w:val="top"/>
          </w:tcPr>
          <w:p>
            <w:pPr>
              <w:spacing w:after="0"/>
            </w:pPr>
            <w:r>
              <w:rPr>
                <w:sz w:val="18"/>
              </w:rPr>
            </w:r>
            <w:r>
              <w:rPr>
                <w:b w:val="0"/>
                <w:sz w:val="18"/>
              </w:rPr>
              <w:t>Validation gate</w:t>
            </w:r>
          </w:p>
        </w:tc>
        <w:tc>
          <w:tcPr>
            <w:tcW w:type="dxa" w:w="3360"/>
            <w:vAlign w:val="top"/>
          </w:tcPr>
          <w:p>
            <w:pPr>
              <w:spacing w:after="0"/>
            </w:pPr>
            <w:r>
              <w:rPr>
                <w:sz w:val="18"/>
              </w:rPr>
            </w:r>
            <w:r>
              <w:rPr>
                <w:b w:val="0"/>
                <w:sz w:val="18"/>
              </w:rPr>
              <w:t>Model promotion, evaluation bundle review, regression threshold check.</w:t>
            </w:r>
          </w:p>
        </w:tc>
        <w:tc>
          <w:tcPr>
            <w:tcW w:type="dxa" w:w="3360"/>
            <w:vAlign w:val="top"/>
          </w:tcPr>
          <w:p>
            <w:pPr>
              <w:spacing w:after="0"/>
            </w:pPr>
            <w:r>
              <w:rPr>
                <w:sz w:val="18"/>
              </w:rPr>
            </w:r>
            <w:r>
              <w:rPr>
                <w:b w:val="0"/>
                <w:sz w:val="18"/>
              </w:rPr>
              <w:t>gate_definitions + gate_evaluations + receipts.</w:t>
            </w:r>
          </w:p>
        </w:tc>
      </w:tr>
      <w:tr>
        <w:trPr>
          <w:cantSplit/>
        </w:trPr>
        <w:tc>
          <w:tcPr>
            <w:tcW w:type="dxa" w:w="3360"/>
            <w:vAlign w:val="top"/>
          </w:tcPr>
          <w:p>
            <w:pPr>
              <w:spacing w:after="0"/>
            </w:pPr>
            <w:r>
              <w:rPr>
                <w:sz w:val="18"/>
              </w:rPr>
            </w:r>
            <w:r>
              <w:rPr>
                <w:b w:val="0"/>
                <w:sz w:val="18"/>
              </w:rPr>
              <w:t>Deployment gate</w:t>
            </w:r>
          </w:p>
        </w:tc>
        <w:tc>
          <w:tcPr>
            <w:tcW w:type="dxa" w:w="3360"/>
            <w:vAlign w:val="top"/>
          </w:tcPr>
          <w:p>
            <w:pPr>
              <w:spacing w:after="0"/>
            </w:pPr>
            <w:r>
              <w:rPr>
                <w:sz w:val="18"/>
              </w:rPr>
            </w:r>
            <w:r>
              <w:rPr>
                <w:b w:val="0"/>
                <w:sz w:val="18"/>
              </w:rPr>
              <w:t>Release approval, environment promotion, production enablement.</w:t>
            </w:r>
          </w:p>
        </w:tc>
        <w:tc>
          <w:tcPr>
            <w:tcW w:type="dxa" w:w="3360"/>
            <w:vAlign w:val="top"/>
          </w:tcPr>
          <w:p>
            <w:pPr>
              <w:spacing w:after="0"/>
            </w:pPr>
            <w:r>
              <w:rPr>
                <w:sz w:val="18"/>
              </w:rPr>
            </w:r>
            <w:r>
              <w:rPr>
                <w:b w:val="0"/>
                <w:sz w:val="18"/>
              </w:rPr>
              <w:t>gate_evaluations linked to ai_lifecycle_objects and receipts.</w:t>
            </w:r>
          </w:p>
        </w:tc>
      </w:tr>
      <w:tr>
        <w:trPr>
          <w:cantSplit/>
        </w:trPr>
        <w:tc>
          <w:tcPr>
            <w:tcW w:type="dxa" w:w="3360"/>
            <w:vAlign w:val="top"/>
          </w:tcPr>
          <w:p>
            <w:pPr>
              <w:spacing w:after="0"/>
            </w:pPr>
            <w:r>
              <w:rPr>
                <w:sz w:val="18"/>
              </w:rPr>
            </w:r>
            <w:r>
              <w:rPr>
                <w:b w:val="0"/>
                <w:sz w:val="18"/>
              </w:rPr>
              <w:t>Runtime gate</w:t>
            </w:r>
          </w:p>
        </w:tc>
        <w:tc>
          <w:tcPr>
            <w:tcW w:type="dxa" w:w="3360"/>
            <w:vAlign w:val="top"/>
          </w:tcPr>
          <w:p>
            <w:pPr>
              <w:spacing w:after="0"/>
            </w:pPr>
            <w:r>
              <w:rPr>
                <w:sz w:val="18"/>
              </w:rPr>
            </w:r>
            <w:r>
              <w:rPr>
                <w:b w:val="0"/>
                <w:sz w:val="18"/>
              </w:rPr>
              <w:t>Sensitive inference, tool call, agent action, high-risk workflow decision.</w:t>
            </w:r>
          </w:p>
        </w:tc>
        <w:tc>
          <w:tcPr>
            <w:tcW w:type="dxa" w:w="3360"/>
            <w:vAlign w:val="top"/>
          </w:tcPr>
          <w:p>
            <w:pPr>
              <w:spacing w:after="0"/>
            </w:pPr>
            <w:r>
              <w:rPr>
                <w:sz w:val="18"/>
              </w:rPr>
            </w:r>
            <w:r>
              <w:rPr>
                <w:b w:val="0"/>
                <w:sz w:val="18"/>
              </w:rPr>
              <w:t>gate_evaluations + pre_action_proof_bundles + agent_tool_invocations.</w:t>
            </w:r>
          </w:p>
        </w:tc>
      </w:tr>
      <w:tr>
        <w:trPr>
          <w:cantSplit/>
        </w:trPr>
        <w:tc>
          <w:tcPr>
            <w:tcW w:type="dxa" w:w="3360"/>
            <w:vAlign w:val="top"/>
          </w:tcPr>
          <w:p>
            <w:pPr>
              <w:spacing w:after="0"/>
            </w:pPr>
            <w:r>
              <w:rPr>
                <w:sz w:val="18"/>
              </w:rPr>
            </w:r>
            <w:r>
              <w:rPr>
                <w:b w:val="0"/>
                <w:sz w:val="18"/>
              </w:rPr>
              <w:t>Incident gate</w:t>
            </w:r>
          </w:p>
        </w:tc>
        <w:tc>
          <w:tcPr>
            <w:tcW w:type="dxa" w:w="3360"/>
            <w:vAlign w:val="top"/>
          </w:tcPr>
          <w:p>
            <w:pPr>
              <w:spacing w:after="0"/>
            </w:pPr>
            <w:r>
              <w:rPr>
                <w:sz w:val="18"/>
              </w:rPr>
            </w:r>
            <w:r>
              <w:rPr>
                <w:b w:val="0"/>
                <w:sz w:val="18"/>
              </w:rPr>
              <w:t>Containment, investigation, remediation, closure.</w:t>
            </w:r>
          </w:p>
        </w:tc>
        <w:tc>
          <w:tcPr>
            <w:tcW w:type="dxa" w:w="3360"/>
            <w:vAlign w:val="top"/>
          </w:tcPr>
          <w:p>
            <w:pPr>
              <w:spacing w:after="0"/>
            </w:pPr>
            <w:r>
              <w:rPr>
                <w:sz w:val="18"/>
              </w:rPr>
            </w:r>
            <w:r>
              <w:rPr>
                <w:b w:val="0"/>
                <w:sz w:val="18"/>
              </w:rPr>
              <w:t>incidents + gate_evaluations + audit_packs.</w:t>
            </w:r>
          </w:p>
        </w:tc>
      </w:tr>
    </w:tbl>
    <w:p/>
    <w:p>
      <w:pPr>
        <w:pStyle w:val="Heading1"/>
      </w:pPr>
      <w:r>
        <w:t>5. Lifecycle Object Registration</w:t>
      </w:r>
    </w:p>
    <w:p>
      <w:r>
        <w:t>The process needs first-class lifecycle objects so that receipts do not float without subject identity. ai_lifecycle_objects represent datasets, models, model versions, evaluation bundles, deployment artifacts, workflows, reports, or other governed objects. ai_lifecycle_object_links complement receipt_links by preserving object-level lineage.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pPr>
              <w:spacing w:after="0"/>
            </w:pPr>
            <w:r>
              <w:rPr>
                <w:sz w:val="18"/>
              </w:rPr>
            </w:r>
            <w:r>
              <w:rPr>
                <w:b/>
                <w:sz w:val="18"/>
              </w:rPr>
              <w:t>Object type</w:t>
            </w:r>
          </w:p>
        </w:tc>
        <w:tc>
          <w:tcPr>
            <w:tcW w:type="dxa" w:w="3360"/>
            <w:shd w:fill="D9EAF7"/>
            <w:vAlign w:val="center"/>
          </w:tcPr>
          <w:p>
            <w:pPr>
              <w:spacing w:after="0"/>
            </w:pPr>
            <w:r>
              <w:rPr>
                <w:sz w:val="18"/>
              </w:rPr>
            </w:r>
            <w:r>
              <w:rPr>
                <w:b/>
                <w:sz w:val="18"/>
              </w:rPr>
              <w:t>Example</w:t>
            </w:r>
          </w:p>
        </w:tc>
        <w:tc>
          <w:tcPr>
            <w:tcW w:type="dxa" w:w="3360"/>
            <w:shd w:fill="D9EAF7"/>
            <w:vAlign w:val="center"/>
          </w:tcPr>
          <w:p>
            <w:pPr>
              <w:spacing w:after="0"/>
            </w:pPr>
            <w:r>
              <w:rPr>
                <w:sz w:val="18"/>
              </w:rPr>
            </w:r>
            <w:r>
              <w:rPr>
                <w:b/>
                <w:sz w:val="18"/>
              </w:rPr>
              <w:t>Evidence relationship</w:t>
            </w:r>
          </w:p>
        </w:tc>
      </w:tr>
      <w:tr>
        <w:trPr>
          <w:cantSplit/>
        </w:trPr>
        <w:tc>
          <w:tcPr>
            <w:tcW w:type="dxa" w:w="3360"/>
            <w:vAlign w:val="top"/>
          </w:tcPr>
          <w:p>
            <w:pPr>
              <w:spacing w:after="0"/>
            </w:pPr>
            <w:r>
              <w:rPr>
                <w:sz w:val="18"/>
              </w:rPr>
            </w:r>
            <w:r>
              <w:rPr>
                <w:b w:val="0"/>
                <w:sz w:val="18"/>
              </w:rPr>
              <w:t>dataset</w:t>
            </w:r>
          </w:p>
        </w:tc>
        <w:tc>
          <w:tcPr>
            <w:tcW w:type="dxa" w:w="3360"/>
            <w:vAlign w:val="top"/>
          </w:tcPr>
          <w:p>
            <w:pPr>
              <w:spacing w:after="0"/>
            </w:pPr>
            <w:r>
              <w:rPr>
                <w:sz w:val="18"/>
              </w:rPr>
            </w:r>
            <w:r>
              <w:rPr>
                <w:b w:val="0"/>
                <w:sz w:val="18"/>
              </w:rPr>
              <w:t>claims_training_dataset_2026q2</w:t>
            </w:r>
          </w:p>
        </w:tc>
        <w:tc>
          <w:tcPr>
            <w:tcW w:type="dxa" w:w="3360"/>
            <w:vAlign w:val="top"/>
          </w:tcPr>
          <w:p>
            <w:pPr>
              <w:spacing w:after="0"/>
            </w:pPr>
            <w:r>
              <w:rPr>
                <w:sz w:val="18"/>
              </w:rPr>
            </w:r>
            <w:r>
              <w:rPr>
                <w:b w:val="0"/>
                <w:sz w:val="18"/>
              </w:rPr>
              <w:t>May link to provenance gate and dataset registration receipt.</w:t>
            </w:r>
          </w:p>
        </w:tc>
      </w:tr>
      <w:tr>
        <w:trPr>
          <w:cantSplit/>
        </w:trPr>
        <w:tc>
          <w:tcPr>
            <w:tcW w:type="dxa" w:w="3360"/>
            <w:vAlign w:val="top"/>
          </w:tcPr>
          <w:p>
            <w:pPr>
              <w:spacing w:after="0"/>
            </w:pPr>
            <w:r>
              <w:rPr>
                <w:sz w:val="18"/>
              </w:rPr>
            </w:r>
            <w:r>
              <w:rPr>
                <w:b w:val="0"/>
                <w:sz w:val="18"/>
              </w:rPr>
              <w:t>training_run</w:t>
            </w:r>
          </w:p>
        </w:tc>
        <w:tc>
          <w:tcPr>
            <w:tcW w:type="dxa" w:w="3360"/>
            <w:vAlign w:val="top"/>
          </w:tcPr>
          <w:p>
            <w:pPr>
              <w:spacing w:after="0"/>
            </w:pPr>
            <w:r>
              <w:rPr>
                <w:sz w:val="18"/>
              </w:rPr>
            </w:r>
            <w:r>
              <w:rPr>
                <w:b w:val="0"/>
                <w:sz w:val="18"/>
              </w:rPr>
              <w:t>run_2026_04_29_001</w:t>
            </w:r>
          </w:p>
        </w:tc>
        <w:tc>
          <w:tcPr>
            <w:tcW w:type="dxa" w:w="3360"/>
            <w:vAlign w:val="top"/>
          </w:tcPr>
          <w:p>
            <w:pPr>
              <w:spacing w:after="0"/>
            </w:pPr>
            <w:r>
              <w:rPr>
                <w:sz w:val="18"/>
              </w:rPr>
            </w:r>
            <w:r>
              <w:rPr>
                <w:b w:val="0"/>
                <w:sz w:val="18"/>
              </w:rPr>
              <w:t>References dataset object, code/config hash, environment, and output model.</w:t>
            </w:r>
          </w:p>
        </w:tc>
      </w:tr>
      <w:tr>
        <w:trPr>
          <w:cantSplit/>
        </w:trPr>
        <w:tc>
          <w:tcPr>
            <w:tcW w:type="dxa" w:w="3360"/>
            <w:vAlign w:val="top"/>
          </w:tcPr>
          <w:p>
            <w:pPr>
              <w:spacing w:after="0"/>
            </w:pPr>
            <w:r>
              <w:rPr>
                <w:sz w:val="18"/>
              </w:rPr>
            </w:r>
            <w:r>
              <w:rPr>
                <w:b w:val="0"/>
                <w:sz w:val="18"/>
              </w:rPr>
              <w:t>model_version</w:t>
            </w:r>
          </w:p>
        </w:tc>
        <w:tc>
          <w:tcPr>
            <w:tcW w:type="dxa" w:w="3360"/>
            <w:vAlign w:val="top"/>
          </w:tcPr>
          <w:p>
            <w:pPr>
              <w:spacing w:after="0"/>
            </w:pPr>
            <w:r>
              <w:rPr>
                <w:sz w:val="18"/>
              </w:rPr>
            </w:r>
            <w:r>
              <w:rPr>
                <w:b w:val="0"/>
                <w:sz w:val="18"/>
              </w:rPr>
              <w:t>claims_model_v4.3.2</w:t>
            </w:r>
          </w:p>
        </w:tc>
        <w:tc>
          <w:tcPr>
            <w:tcW w:type="dxa" w:w="3360"/>
            <w:vAlign w:val="top"/>
          </w:tcPr>
          <w:p>
            <w:pPr>
              <w:spacing w:after="0"/>
            </w:pPr>
            <w:r>
              <w:rPr>
                <w:sz w:val="18"/>
              </w:rPr>
            </w:r>
            <w:r>
              <w:rPr>
                <w:b w:val="0"/>
                <w:sz w:val="18"/>
              </w:rPr>
              <w:t>Links to validation, approval, deployment, and runtime receipts.</w:t>
            </w:r>
          </w:p>
        </w:tc>
      </w:tr>
      <w:tr>
        <w:trPr>
          <w:cantSplit/>
        </w:trPr>
        <w:tc>
          <w:tcPr>
            <w:tcW w:type="dxa" w:w="3360"/>
            <w:vAlign w:val="top"/>
          </w:tcPr>
          <w:p>
            <w:pPr>
              <w:spacing w:after="0"/>
            </w:pPr>
            <w:r>
              <w:rPr>
                <w:sz w:val="18"/>
              </w:rPr>
            </w:r>
            <w:r>
              <w:rPr>
                <w:b w:val="0"/>
                <w:sz w:val="18"/>
              </w:rPr>
              <w:t>artifact</w:t>
            </w:r>
          </w:p>
        </w:tc>
        <w:tc>
          <w:tcPr>
            <w:tcW w:type="dxa" w:w="3360"/>
            <w:vAlign w:val="top"/>
          </w:tcPr>
          <w:p>
            <w:pPr>
              <w:spacing w:after="0"/>
            </w:pPr>
            <w:r>
              <w:rPr>
                <w:sz w:val="18"/>
              </w:rPr>
            </w:r>
            <w:r>
              <w:rPr>
                <w:b w:val="0"/>
                <w:sz w:val="18"/>
              </w:rPr>
              <w:t>customer_notice_pdf_release_118</w:t>
            </w:r>
          </w:p>
        </w:tc>
        <w:tc>
          <w:tcPr>
            <w:tcW w:type="dxa" w:w="3360"/>
            <w:vAlign w:val="top"/>
          </w:tcPr>
          <w:p>
            <w:pPr>
              <w:spacing w:after="0"/>
            </w:pPr>
            <w:r>
              <w:rPr>
                <w:sz w:val="18"/>
              </w:rPr>
            </w:r>
            <w:r>
              <w:rPr>
                <w:b w:val="0"/>
                <w:sz w:val="18"/>
              </w:rPr>
              <w:t>Links to artifact_release_records and forensic fingerprints.</w:t>
            </w:r>
          </w:p>
        </w:tc>
      </w:tr>
      <w:tr>
        <w:trPr>
          <w:cantSplit/>
        </w:trPr>
        <w:tc>
          <w:tcPr>
            <w:tcW w:type="dxa" w:w="3360"/>
            <w:vAlign w:val="top"/>
          </w:tcPr>
          <w:p>
            <w:pPr>
              <w:spacing w:after="0"/>
            </w:pPr>
            <w:r>
              <w:rPr>
                <w:sz w:val="18"/>
              </w:rPr>
            </w:r>
            <w:r>
              <w:rPr>
                <w:b w:val="0"/>
                <w:sz w:val="18"/>
              </w:rPr>
              <w:t>workflow</w:t>
            </w:r>
          </w:p>
        </w:tc>
        <w:tc>
          <w:tcPr>
            <w:tcW w:type="dxa" w:w="3360"/>
            <w:vAlign w:val="top"/>
          </w:tcPr>
          <w:p>
            <w:pPr>
              <w:spacing w:after="0"/>
            </w:pPr>
            <w:r>
              <w:rPr>
                <w:sz w:val="18"/>
              </w:rPr>
            </w:r>
            <w:r>
              <w:rPr>
                <w:b w:val="0"/>
                <w:sz w:val="18"/>
              </w:rPr>
              <w:t>claims_triage_agent_workflow</w:t>
            </w:r>
          </w:p>
        </w:tc>
        <w:tc>
          <w:tcPr>
            <w:tcW w:type="dxa" w:w="3360"/>
            <w:vAlign w:val="top"/>
          </w:tcPr>
          <w:p>
            <w:pPr>
              <w:spacing w:after="0"/>
            </w:pPr>
            <w:r>
              <w:rPr>
                <w:sz w:val="18"/>
              </w:rPr>
            </w:r>
            <w:r>
              <w:rPr>
                <w:b w:val="0"/>
                <w:sz w:val="18"/>
              </w:rPr>
              <w:t>Links to agent sessions and pre-action proof bundles.</w:t>
            </w:r>
          </w:p>
        </w:tc>
      </w:tr>
    </w:tbl>
    <w:p/>
    <w:p>
      <w:pPr>
        <w:pStyle w:val="Heading1"/>
      </w:pPr>
      <w:r>
        <w:t>6. Receipts and Evidence Commitments</w:t>
      </w:r>
    </w:p>
    <w:p>
      <w:r>
        <w:t>A receipt is the atomic evidence object of CIAF-LCM. In the database, the receipts table includes receipt type, payload, schema version, content hash, hash algorithm, canonicalization version, signature metadata, gate_evaluation_id, policy_version_id, resource fields, lifecycle_stage, Merkle proof, verification status, and event timestamp.</w:t>
      </w:r>
    </w:p>
    <w:p>
      <w:r>
        <w:t>Evidence objects hold richer proof payloads or storage pointers. Vault objects seal selected evidence into custody-grade objects. Receipt links preserve chain-of-evidence relationships, while receipt batches and batch items provide Merkle batching for efficient verification.</w:t>
      </w:r>
    </w:p>
    <w:p>
      <w:pPr>
        <w:pStyle w:val="Heading1"/>
      </w:pPr>
      <w:r>
        <w:t>7. Process Sequence</w:t>
      </w:r>
    </w:p>
    <w:p>
      <w:r>
        <w:t>1. Define or update policy set.</w:t>
      </w:r>
    </w:p>
    <w:p>
      <w:r>
        <w:t>2. Publish immutable policy version.</w:t>
      </w:r>
    </w:p>
    <w:p>
      <w:r>
        <w:t>3. Extract or register policy rules.</w:t>
      </w:r>
    </w:p>
    <w:p>
      <w:r>
        <w:t>4. Define gates derived from policy logic.</w:t>
      </w:r>
    </w:p>
    <w:p>
      <w:r>
        <w:t>5. Register lifecycle object or event subject.</w:t>
      </w:r>
    </w:p>
    <w:p>
      <w:r>
        <w:t>6. Capture governed event.</w:t>
      </w:r>
    </w:p>
    <w:p>
      <w:r>
        <w:t>7. Evaluate individual policy rules.</w:t>
      </w:r>
    </w:p>
    <w:p>
      <w:r>
        <w:t>8. Aggregate rule results into gate evaluation.</w:t>
      </w:r>
    </w:p>
    <w:p>
      <w:r>
        <w:t>9. Create receipt for event and outcome.</w:t>
      </w:r>
    </w:p>
    <w:p>
      <w:r>
        <w:t>10. Attach or store supporting evidence object.</w:t>
      </w:r>
    </w:p>
    <w:p>
      <w:r>
        <w:t>11. Seal or retain in vault based on assurance profile.</w:t>
      </w:r>
    </w:p>
    <w:p>
      <w:r>
        <w:t>12. Link receipts and lifecycle objects.</w:t>
      </w:r>
    </w:p>
    <w:p>
      <w:r>
        <w:t>13. Materialize audit pack or verification job when triggered.</w:t>
      </w:r>
    </w:p>
    <w:p>
      <w:pPr>
        <w:pStyle w:val="Heading1"/>
      </w:pPr>
      <w:r>
        <w:t>8. What Changed After the Schema Fix</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pPr>
              <w:spacing w:after="0"/>
            </w:pPr>
            <w:r>
              <w:rPr>
                <w:sz w:val="18"/>
              </w:rPr>
            </w:r>
            <w:r>
              <w:rPr>
                <w:b/>
                <w:sz w:val="18"/>
              </w:rPr>
              <w:t>Earlier gap</w:t>
            </w:r>
          </w:p>
        </w:tc>
        <w:tc>
          <w:tcPr>
            <w:tcW w:type="dxa" w:w="3360"/>
            <w:shd w:fill="D9EAF7"/>
            <w:vAlign w:val="center"/>
          </w:tcPr>
          <w:p>
            <w:pPr>
              <w:spacing w:after="0"/>
            </w:pPr>
            <w:r>
              <w:rPr>
                <w:sz w:val="18"/>
              </w:rPr>
            </w:r>
            <w:r>
              <w:rPr>
                <w:b/>
                <w:sz w:val="18"/>
              </w:rPr>
              <w:t>Resolved by completed database structure</w:t>
            </w:r>
          </w:p>
        </w:tc>
        <w:tc>
          <w:tcPr>
            <w:tcW w:type="dxa" w:w="3360"/>
            <w:shd w:fill="D9EAF7"/>
            <w:vAlign w:val="center"/>
          </w:tcPr>
          <w:p>
            <w:pPr>
              <w:spacing w:after="0"/>
            </w:pPr>
            <w:r>
              <w:rPr>
                <w:sz w:val="18"/>
              </w:rPr>
            </w:r>
            <w:r>
              <w:rPr>
                <w:b/>
                <w:sz w:val="18"/>
              </w:rPr>
              <w:t>Result</w:t>
            </w:r>
          </w:p>
        </w:tc>
      </w:tr>
      <w:tr>
        <w:trPr>
          <w:cantSplit/>
        </w:trPr>
        <w:tc>
          <w:tcPr>
            <w:tcW w:type="dxa" w:w="3360"/>
            <w:vAlign w:val="top"/>
          </w:tcPr>
          <w:p>
            <w:pPr>
              <w:spacing w:after="0"/>
            </w:pPr>
            <w:r>
              <w:rPr>
                <w:sz w:val="18"/>
              </w:rPr>
            </w:r>
            <w:r>
              <w:rPr>
                <w:b w:val="0"/>
                <w:sz w:val="18"/>
              </w:rPr>
              <w:t>Policy/gates not first-class enough</w:t>
            </w:r>
          </w:p>
        </w:tc>
        <w:tc>
          <w:tcPr>
            <w:tcW w:type="dxa" w:w="3360"/>
            <w:vAlign w:val="top"/>
          </w:tcPr>
          <w:p>
            <w:pPr>
              <w:spacing w:after="0"/>
            </w:pPr>
            <w:r>
              <w:rPr>
                <w:sz w:val="18"/>
              </w:rPr>
            </w:r>
            <w:r>
              <w:rPr>
                <w:b w:val="0"/>
                <w:sz w:val="18"/>
              </w:rPr>
              <w:t>policy_sets, policy_versions, policy_rules, policy_evaluations, gate_definitions, gate_evaluations.</w:t>
            </w:r>
          </w:p>
        </w:tc>
        <w:tc>
          <w:tcPr>
            <w:tcW w:type="dxa" w:w="3360"/>
            <w:vAlign w:val="top"/>
          </w:tcPr>
          <w:p>
            <w:pPr>
              <w:spacing w:after="0"/>
            </w:pPr>
            <w:r>
              <w:rPr>
                <w:sz w:val="18"/>
              </w:rPr>
            </w:r>
            <w:r>
              <w:rPr>
                <w:b w:val="0"/>
                <w:sz w:val="18"/>
              </w:rPr>
              <w:t>Enforcement is now explicit and queryable.</w:t>
            </w:r>
          </w:p>
        </w:tc>
      </w:tr>
      <w:tr>
        <w:trPr>
          <w:cantSplit/>
        </w:trPr>
        <w:tc>
          <w:tcPr>
            <w:tcW w:type="dxa" w:w="3360"/>
            <w:vAlign w:val="top"/>
          </w:tcPr>
          <w:p>
            <w:pPr>
              <w:spacing w:after="0"/>
            </w:pPr>
            <w:r>
              <w:rPr>
                <w:sz w:val="18"/>
              </w:rPr>
            </w:r>
            <w:r>
              <w:rPr>
                <w:b w:val="0"/>
                <w:sz w:val="18"/>
              </w:rPr>
              <w:t>Proof metadata inconsistent</w:t>
            </w:r>
          </w:p>
        </w:tc>
        <w:tc>
          <w:tcPr>
            <w:tcW w:type="dxa" w:w="3360"/>
            <w:vAlign w:val="top"/>
          </w:tcPr>
          <w:p>
            <w:pPr>
              <w:spacing w:after="0"/>
            </w:pPr>
            <w:r>
              <w:rPr>
                <w:sz w:val="18"/>
              </w:rPr>
            </w:r>
            <w:r>
              <w:rPr>
                <w:b w:val="0"/>
                <w:sz w:val="18"/>
              </w:rPr>
              <w:t>content_hash, hash_algorithm, canonicalization_version, signature fields, Merkle fields across proof-bearing tables.</w:t>
            </w:r>
          </w:p>
        </w:tc>
        <w:tc>
          <w:tcPr>
            <w:tcW w:type="dxa" w:w="3360"/>
            <w:vAlign w:val="top"/>
          </w:tcPr>
          <w:p>
            <w:pPr>
              <w:spacing w:after="0"/>
            </w:pPr>
            <w:r>
              <w:rPr>
                <w:sz w:val="18"/>
              </w:rPr>
            </w:r>
            <w:r>
              <w:rPr>
                <w:b w:val="0"/>
                <w:sz w:val="18"/>
              </w:rPr>
              <w:t>Verification expectations are clearer.</w:t>
            </w:r>
          </w:p>
        </w:tc>
      </w:tr>
      <w:tr>
        <w:trPr>
          <w:cantSplit/>
        </w:trPr>
        <w:tc>
          <w:tcPr>
            <w:tcW w:type="dxa" w:w="3360"/>
            <w:vAlign w:val="top"/>
          </w:tcPr>
          <w:p>
            <w:pPr>
              <w:spacing w:after="0"/>
            </w:pPr>
            <w:r>
              <w:rPr>
                <w:sz w:val="18"/>
              </w:rPr>
            </w:r>
            <w:r>
              <w:rPr>
                <w:b w:val="0"/>
                <w:sz w:val="18"/>
              </w:rPr>
              <w:t>Lineage weak across lifecycle</w:t>
            </w:r>
          </w:p>
        </w:tc>
        <w:tc>
          <w:tcPr>
            <w:tcW w:type="dxa" w:w="3360"/>
            <w:vAlign w:val="top"/>
          </w:tcPr>
          <w:p>
            <w:pPr>
              <w:spacing w:after="0"/>
            </w:pPr>
            <w:r>
              <w:rPr>
                <w:sz w:val="18"/>
              </w:rPr>
            </w:r>
            <w:r>
              <w:rPr>
                <w:b w:val="0"/>
                <w:sz w:val="18"/>
              </w:rPr>
              <w:t>receipt_links and ai_lifecycle_object_links.</w:t>
            </w:r>
          </w:p>
        </w:tc>
        <w:tc>
          <w:tcPr>
            <w:tcW w:type="dxa" w:w="3360"/>
            <w:vAlign w:val="top"/>
          </w:tcPr>
          <w:p>
            <w:pPr>
              <w:spacing w:after="0"/>
            </w:pPr>
            <w:r>
              <w:rPr>
                <w:sz w:val="18"/>
              </w:rPr>
            </w:r>
            <w:r>
              <w:rPr>
                <w:b w:val="0"/>
                <w:sz w:val="18"/>
              </w:rPr>
              <w:t>Evidence graph can be traversed.</w:t>
            </w:r>
          </w:p>
        </w:tc>
      </w:tr>
      <w:tr>
        <w:trPr>
          <w:cantSplit/>
        </w:trPr>
        <w:tc>
          <w:tcPr>
            <w:tcW w:type="dxa" w:w="3360"/>
            <w:vAlign w:val="top"/>
          </w:tcPr>
          <w:p>
            <w:pPr>
              <w:spacing w:after="0"/>
            </w:pPr>
            <w:r>
              <w:rPr>
                <w:sz w:val="18"/>
              </w:rPr>
            </w:r>
            <w:r>
              <w:rPr>
                <w:b w:val="0"/>
                <w:sz w:val="18"/>
              </w:rPr>
              <w:t>Agent pre-action proof missing</w:t>
            </w:r>
          </w:p>
        </w:tc>
        <w:tc>
          <w:tcPr>
            <w:tcW w:type="dxa" w:w="3360"/>
            <w:vAlign w:val="top"/>
          </w:tcPr>
          <w:p>
            <w:pPr>
              <w:spacing w:after="0"/>
            </w:pPr>
            <w:r>
              <w:rPr>
                <w:sz w:val="18"/>
              </w:rPr>
            </w:r>
            <w:r>
              <w:rPr>
                <w:b w:val="0"/>
                <w:sz w:val="18"/>
              </w:rPr>
              <w:t>pre_action_proof_bundles and agent_tool_invocations.</w:t>
            </w:r>
          </w:p>
        </w:tc>
        <w:tc>
          <w:tcPr>
            <w:tcW w:type="dxa" w:w="3360"/>
            <w:vAlign w:val="top"/>
          </w:tcPr>
          <w:p>
            <w:pPr>
              <w:spacing w:after="0"/>
            </w:pPr>
            <w:r>
              <w:rPr>
                <w:sz w:val="18"/>
              </w:rPr>
            </w:r>
            <w:r>
              <w:rPr>
                <w:b w:val="0"/>
                <w:sz w:val="18"/>
              </w:rPr>
              <w:t>Sensitive tool action can be gate-bound before execution.</w:t>
            </w:r>
          </w:p>
        </w:tc>
      </w:tr>
      <w:tr>
        <w:trPr>
          <w:cantSplit/>
        </w:trPr>
        <w:tc>
          <w:tcPr>
            <w:tcW w:type="dxa" w:w="3360"/>
            <w:vAlign w:val="top"/>
          </w:tcPr>
          <w:p>
            <w:pPr>
              <w:spacing w:after="0"/>
            </w:pPr>
            <w:r>
              <w:rPr>
                <w:sz w:val="18"/>
              </w:rPr>
            </w:r>
            <w:r>
              <w:rPr>
                <w:b w:val="0"/>
                <w:sz w:val="18"/>
              </w:rPr>
              <w:t>Audit materialization vague</w:t>
            </w:r>
          </w:p>
        </w:tc>
        <w:tc>
          <w:tcPr>
            <w:tcW w:type="dxa" w:w="3360"/>
            <w:vAlign w:val="top"/>
          </w:tcPr>
          <w:p>
            <w:pPr>
              <w:spacing w:after="0"/>
            </w:pPr>
            <w:r>
              <w:rPr>
                <w:sz w:val="18"/>
              </w:rPr>
            </w:r>
            <w:r>
              <w:rPr>
                <w:b w:val="0"/>
                <w:sz w:val="18"/>
              </w:rPr>
              <w:t>audit_packs, audit_pack_items, verification_jobs.</w:t>
            </w:r>
          </w:p>
        </w:tc>
        <w:tc>
          <w:tcPr>
            <w:tcW w:type="dxa" w:w="3360"/>
            <w:vAlign w:val="top"/>
          </w:tcPr>
          <w:p>
            <w:pPr>
              <w:spacing w:after="0"/>
            </w:pPr>
            <w:r>
              <w:rPr>
                <w:sz w:val="18"/>
              </w:rPr>
            </w:r>
            <w:r>
              <w:rPr>
                <w:b w:val="0"/>
                <w:sz w:val="18"/>
              </w:rPr>
              <w:t>LCM has concrete materialization/export objects.</w:t>
            </w:r>
          </w:p>
        </w:tc>
      </w:tr>
    </w:tbl>
    <w:p/>
    <w:p>
      <w:pPr>
        <w:pStyle w:val="Heading1"/>
      </w:pPr>
      <w:r>
        <w:t>9. Conclusion</w:t>
      </w:r>
    </w:p>
    <w:p>
      <w:r>
        <w:t>CIAF-LCM is now explainable as a process and implementable as a database-backed control system. The policy-to-proof chain is visible in the tables, and the architecture can support audit, regulatory review, incident reconstruction, privacy rights handling, agent governance, artifact provenance, and shadow AI governance without collapsing into generic logging.</w:t>
      </w:r>
    </w:p>
    <w:p>
      <w:pPr>
        <w:pStyle w:val="Heading1"/>
      </w:pPr>
      <w:r>
        <w:t>AI Use and Editorial Note</w:t>
      </w:r>
    </w:p>
    <w:p>
      <w:r>
        <w:t>This draft was prepared for concept development, publication planning, and architecture alignment. AI assistance may have been used to structure and draft the material, with human editorial control, technical judgment, and final review expected before publication or external distribution.</w:t>
      </w:r>
    </w:p>
    <w:p>
      <w:pPr>
        <w:pStyle w:val="Heading1"/>
      </w:pPr>
      <w:r>
        <w:t>Source Basis</w:t>
      </w:r>
    </w:p>
    <w:p>
      <w:r>
        <w:t>This document is based on the AGEI category paper, CIAF-LCM process paper, CIAF-LCM with Governance Gates paper, evidence vault paper, agent governance paper, shadow AI paper, dual-layer provenance paper, global regulatory reference guide, and the completed database/schema structure exported in DATABASE.md.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